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8FE" w:rsidRPr="00F87BF4" w:rsidRDefault="00CD08FE" w:rsidP="00CD08FE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fr-FR"/>
        </w:rPr>
      </w:pPr>
      <w:bookmarkStart w:id="0" w:name="_Hlk42240645"/>
      <w:bookmarkStart w:id="1" w:name="_Hlk42629633"/>
      <w:bookmarkStart w:id="2" w:name="_GoBack"/>
      <w:bookmarkEnd w:id="2"/>
      <w:r w:rsidRPr="00F87BF4">
        <w:rPr>
          <w:rFonts w:ascii="Verdana" w:eastAsia="Verdana" w:hAnsi="Verdana" w:cs="Verdana"/>
          <w:color w:val="404040"/>
          <w:u w:val="single"/>
          <w:lang w:val="fr-FR"/>
        </w:rPr>
        <w:t xml:space="preserve">EQUIA Forte </w:t>
      </w:r>
      <w:bookmarkEnd w:id="0"/>
      <w:r>
        <w:rPr>
          <w:rFonts w:ascii="Verdana" w:eastAsia="Verdana" w:hAnsi="Verdana" w:cs="Verdana"/>
          <w:color w:val="404040"/>
          <w:u w:val="single"/>
          <w:lang w:val="fr-FR"/>
        </w:rPr>
        <w:t xml:space="preserve">- </w:t>
      </w:r>
      <w:r w:rsidRPr="00F87BF4">
        <w:rPr>
          <w:rFonts w:ascii="Verdana" w:eastAsia="Verdana" w:hAnsi="Verdana" w:cs="Verdana"/>
          <w:color w:val="404040"/>
          <w:u w:val="single"/>
          <w:lang w:val="fr-FR"/>
        </w:rPr>
        <w:t xml:space="preserve">Etude multicentrique </w:t>
      </w:r>
    </w:p>
    <w:p w:rsidR="00CD08FE" w:rsidRPr="00F87BF4" w:rsidRDefault="00CD08FE" w:rsidP="00CD08FE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fr-FR"/>
        </w:rPr>
      </w:pPr>
    </w:p>
    <w:p w:rsidR="00CD08FE" w:rsidRPr="00592EAE" w:rsidRDefault="00CD08FE" w:rsidP="00CD08FE">
      <w:pPr>
        <w:rPr>
          <w:rFonts w:ascii="Verdana" w:hAnsi="Verdana"/>
          <w:b/>
          <w:bCs/>
          <w:color w:val="002060"/>
          <w:sz w:val="28"/>
          <w:szCs w:val="28"/>
          <w:lang w:val="fr-FR"/>
        </w:rPr>
      </w:pPr>
      <w:r w:rsidRPr="00592EAE">
        <w:rPr>
          <w:rFonts w:ascii="Verdana" w:hAnsi="Verdana"/>
          <w:b/>
          <w:bCs/>
          <w:color w:val="002060"/>
          <w:sz w:val="28"/>
          <w:szCs w:val="28"/>
          <w:lang w:val="fr-FR"/>
        </w:rPr>
        <w:t>GC EQUIA</w:t>
      </w:r>
      <w:r w:rsidRPr="00592EAE">
        <w:rPr>
          <w:rFonts w:ascii="Verdana" w:hAnsi="Verdana"/>
          <w:b/>
          <w:bCs/>
          <w:color w:val="002060"/>
          <w:sz w:val="28"/>
          <w:szCs w:val="28"/>
          <w:vertAlign w:val="superscript"/>
          <w:lang w:val="fr-FR"/>
        </w:rPr>
        <w:t>®</w:t>
      </w:r>
      <w:r w:rsidRPr="00592EAE">
        <w:rPr>
          <w:rFonts w:ascii="Verdana" w:hAnsi="Verdana"/>
          <w:b/>
          <w:bCs/>
          <w:color w:val="002060"/>
          <w:sz w:val="28"/>
          <w:szCs w:val="28"/>
          <w:lang w:val="fr-FR"/>
        </w:rPr>
        <w:t xml:space="preserve"> Forte –Les résultats intermédiaires d'un essai clinique complexe illustrent le succès </w:t>
      </w:r>
      <w:r>
        <w:rPr>
          <w:rFonts w:ascii="Verdana" w:hAnsi="Verdana"/>
          <w:b/>
          <w:bCs/>
          <w:color w:val="002060"/>
          <w:sz w:val="28"/>
          <w:szCs w:val="28"/>
          <w:lang w:val="fr-FR"/>
        </w:rPr>
        <w:t>en</w:t>
      </w:r>
      <w:r w:rsidRPr="00592EAE">
        <w:rPr>
          <w:rFonts w:ascii="Verdana" w:hAnsi="Verdana"/>
          <w:b/>
          <w:bCs/>
          <w:color w:val="002060"/>
          <w:sz w:val="28"/>
          <w:szCs w:val="28"/>
          <w:lang w:val="fr-FR"/>
        </w:rPr>
        <w:t xml:space="preserve"> </w:t>
      </w:r>
      <w:r>
        <w:rPr>
          <w:rFonts w:ascii="Verdana" w:hAnsi="Verdana"/>
          <w:b/>
          <w:bCs/>
          <w:color w:val="002060"/>
          <w:sz w:val="28"/>
          <w:szCs w:val="28"/>
          <w:lang w:val="fr-FR"/>
        </w:rPr>
        <w:t>dentisterie restauratrice.</w:t>
      </w:r>
    </w:p>
    <w:p w:rsidR="00CD08FE" w:rsidRPr="00592EAE" w:rsidRDefault="00CD08FE" w:rsidP="00CD08FE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fr-FR"/>
        </w:rPr>
      </w:pPr>
    </w:p>
    <w:bookmarkEnd w:id="1"/>
    <w:p w:rsidR="00CD08FE" w:rsidRPr="00FC492D" w:rsidRDefault="00CD08FE" w:rsidP="00CD08FE">
      <w:pPr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</w:pPr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La technologie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de Verre Hybride</w:t>
      </w:r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Haute Densité </w:t>
      </w:r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représente le prochain grand bond en avant dans le domaine de la dentisterie restauratrice. EQUIA Forte fait </w:t>
      </w:r>
      <w:proofErr w:type="gramStart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suite au</w:t>
      </w:r>
      <w:proofErr w:type="gramEnd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système de restauration EQUIA lancé en 2007, qui a connu un énorme succès. Une étude multicentrique à long terme a été lancée en 2015 pour évaluer la performance clinique d'EQUIA Forte par rapport à une résine composite </w:t>
      </w:r>
      <w:proofErr w:type="spellStart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nanohybride</w:t>
      </w:r>
      <w:proofErr w:type="spellEnd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(</w:t>
      </w:r>
      <w:proofErr w:type="spellStart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Tetric</w:t>
      </w:r>
      <w:proofErr w:type="spellEnd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</w:t>
      </w:r>
      <w:proofErr w:type="spellStart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EvoCeram</w:t>
      </w:r>
      <w:proofErr w:type="spellEnd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®, </w:t>
      </w:r>
      <w:proofErr w:type="spellStart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Ivoclar</w:t>
      </w:r>
      <w:proofErr w:type="spellEnd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</w:t>
      </w:r>
      <w:proofErr w:type="spellStart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Vivadent</w:t>
      </w:r>
      <w:proofErr w:type="spellEnd"/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) dans le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cas</w:t>
      </w:r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de </w:t>
      </w:r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restaurations de classe II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 xml:space="preserve">de taille </w:t>
      </w:r>
      <w:r w:rsidRPr="00FC492D">
        <w:rPr>
          <w:rFonts w:ascii="Verdana" w:hAnsi="Verdana"/>
          <w:b/>
          <w:bCs/>
          <w:color w:val="404040"/>
          <w:sz w:val="22"/>
          <w:szCs w:val="22"/>
          <w:u w:color="404040"/>
          <w:lang w:val="fr-FR"/>
        </w:rPr>
        <w:t>moyenne à grande.</w:t>
      </w:r>
    </w:p>
    <w:p w:rsidR="00CD08FE" w:rsidRPr="00D5783B" w:rsidRDefault="00CD08FE" w:rsidP="00CD08FE">
      <w:pPr>
        <w:suppressAutoHyphens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Actuellement, un essai clinique multicentrique randomisé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à long terme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en bouche divisée (avec répartition équivalente)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, est en cours dans quatre pays. Les équipes d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e recherche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sont respectivement dirigées par le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s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P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rofesseur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s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Ivana </w:t>
      </w:r>
      <w:proofErr w:type="spellStart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Miletić</w:t>
      </w:r>
      <w:proofErr w:type="spellEnd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(Croatie), Matteo </w:t>
      </w:r>
      <w:proofErr w:type="spellStart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Basso</w:t>
      </w:r>
      <w:proofErr w:type="spellEnd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(Italie), Dejan </w:t>
      </w:r>
      <w:proofErr w:type="spellStart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Marković</w:t>
      </w:r>
      <w:proofErr w:type="spellEnd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(Serbie) et </w:t>
      </w:r>
      <w:proofErr w:type="spellStart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Lezize</w:t>
      </w:r>
      <w:proofErr w:type="spellEnd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  <w:proofErr w:type="spellStart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Sebnem</w:t>
      </w:r>
      <w:proofErr w:type="spellEnd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  <w:proofErr w:type="spellStart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Turkun</w:t>
      </w:r>
      <w:proofErr w:type="spellEnd"/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(Turquie). L'ampleur et la complexité de l'étude ont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fait face à de nombreux défis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, tels que les différences culturelles et réglementaires, le grand nombre de patients et de restaurations, le processus de suivi et d'évaluation et le respect des normes méthodologiques les plus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strictes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.  </w:t>
      </w:r>
    </w:p>
    <w:p w:rsidR="00CD08FE" w:rsidRPr="00FC492D" w:rsidRDefault="00CD08FE" w:rsidP="00CD08FE">
      <w:pPr>
        <w:suppressAutoHyphens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Pour rendre cette étude valable, une attention toute particulière a été donnée à </w:t>
      </w:r>
      <w:proofErr w:type="gramStart"/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l’inclusion</w:t>
      </w:r>
      <w:proofErr w:type="gramEnd"/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d’un nombre élevé de patients avec des critères de choix stricts, afin d’o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btenir une taille d'échantillon significative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.</w:t>
      </w:r>
    </w:p>
    <w:p w:rsidR="00CD08FE" w:rsidRPr="00FC492D" w:rsidRDefault="00CD08FE" w:rsidP="00CD08FE">
      <w:pPr>
        <w:suppressAutoHyphens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Avec 180 patients et 360 restaurations, l'étude a généré des données importantes. Celles-ci ont été documentées non seulement avec des données numériques, mais aussi avec des empreintes, des modèles, des scanners et des photos. Toutes les données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- 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anonym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es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- sont 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>stockées dans une base cen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t</w:t>
      </w:r>
      <w:r w:rsidRPr="00FC492D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rale pour évaluation et analyse statistique.  </w:t>
      </w:r>
    </w:p>
    <w:p w:rsidR="00CD08FE" w:rsidRPr="00D5783B" w:rsidRDefault="00CD08FE" w:rsidP="00CD08FE">
      <w:pPr>
        <w:autoSpaceDE w:val="0"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>En dépit de toutes ces complexités, les équipes d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e recherche </w:t>
      </w: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ont démontré non seulement leur expertise en publiant les résultats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à </w:t>
      </w: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deux ans dans le </w:t>
      </w:r>
      <w:r w:rsidRPr="008B7578">
        <w:rPr>
          <w:rFonts w:ascii="Verdana" w:hAnsi="Verdana"/>
          <w:i/>
          <w:iCs/>
          <w:color w:val="404040"/>
          <w:sz w:val="22"/>
          <w:szCs w:val="22"/>
          <w:u w:color="404040"/>
          <w:lang w:val="fr-FR"/>
        </w:rPr>
        <w:t xml:space="preserve">Journal of </w:t>
      </w:r>
      <w:proofErr w:type="spellStart"/>
      <w:r w:rsidRPr="008B7578">
        <w:rPr>
          <w:rFonts w:ascii="Verdana" w:hAnsi="Verdana"/>
          <w:i/>
          <w:iCs/>
          <w:color w:val="404040"/>
          <w:sz w:val="22"/>
          <w:szCs w:val="22"/>
          <w:u w:color="404040"/>
          <w:lang w:val="fr-FR"/>
        </w:rPr>
        <w:lastRenderedPageBreak/>
        <w:t>Adhesive</w:t>
      </w:r>
      <w:proofErr w:type="spellEnd"/>
      <w:r w:rsidRPr="008B7578">
        <w:rPr>
          <w:rFonts w:ascii="Verdana" w:hAnsi="Verdana"/>
          <w:i/>
          <w:iCs/>
          <w:color w:val="404040"/>
          <w:sz w:val="22"/>
          <w:szCs w:val="22"/>
          <w:u w:color="404040"/>
          <w:lang w:val="fr-FR"/>
        </w:rPr>
        <w:t xml:space="preserve"> </w:t>
      </w:r>
      <w:proofErr w:type="spellStart"/>
      <w:r w:rsidRPr="008B7578">
        <w:rPr>
          <w:rFonts w:ascii="Verdana" w:hAnsi="Verdana"/>
          <w:i/>
          <w:iCs/>
          <w:color w:val="404040"/>
          <w:sz w:val="22"/>
          <w:szCs w:val="22"/>
          <w:u w:color="404040"/>
          <w:lang w:val="fr-FR"/>
        </w:rPr>
        <w:t>Dentistry</w:t>
      </w:r>
      <w:proofErr w:type="spellEnd"/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, mais aussi leur engagement scientifique en poursuivant le suivi de l'étude au cours de sa quatrième année.  </w:t>
      </w:r>
    </w:p>
    <w:p w:rsidR="00CD08FE" w:rsidRPr="00D5783B" w:rsidRDefault="00CD08FE" w:rsidP="00CD08FE">
      <w:pPr>
        <w:autoSpaceDE w:val="0"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Le prochain objectif des chercheurs est de créer un modèle permettant de mesurer l'usure des restaurations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dans le</w:t>
      </w: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temps.  </w:t>
      </w:r>
    </w:p>
    <w:p w:rsidR="00CD08FE" w:rsidRPr="00D5783B" w:rsidRDefault="00CD08FE" w:rsidP="00CD08FE">
      <w:pPr>
        <w:autoSpaceDE w:val="0"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Le système de restauration EQUIA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possède</w:t>
      </w: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plus d'une décennie de solides preuves cliniques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.</w:t>
      </w: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Les performances cliniques récentes démontrées par EQUIA Forte par rapport à une résine composite </w:t>
      </w:r>
      <w:proofErr w:type="spellStart"/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>nanohybride</w:t>
      </w:r>
      <w:proofErr w:type="spellEnd"/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confirment encore que le système de restauration EQUIA est une restauration fiable et à long terme pour les 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>praticiens.</w:t>
      </w:r>
      <w:r w:rsidRPr="00D5783B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 </w:t>
      </w:r>
    </w:p>
    <w:p w:rsidR="00CD08FE" w:rsidRPr="008B7578" w:rsidRDefault="00CD08FE" w:rsidP="00CD08FE">
      <w:pPr>
        <w:spacing w:line="360" w:lineRule="auto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8B7578">
        <w:rPr>
          <w:rFonts w:ascii="Verdana" w:hAnsi="Verdana"/>
          <w:color w:val="404040"/>
          <w:sz w:val="22"/>
          <w:szCs w:val="22"/>
          <w:u w:color="404040"/>
          <w:lang w:val="fr-FR"/>
        </w:rPr>
        <w:t>Pour pl</w:t>
      </w:r>
      <w:r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us d’information, consultez </w:t>
      </w:r>
      <w:r w:rsidRPr="008B7578">
        <w:rPr>
          <w:rFonts w:ascii="Verdana" w:hAnsi="Verdana"/>
          <w:color w:val="404040"/>
          <w:sz w:val="22"/>
          <w:szCs w:val="22"/>
          <w:u w:color="404040"/>
          <w:lang w:val="fr-FR"/>
        </w:rPr>
        <w:t xml:space="preserve">: </w:t>
      </w:r>
      <w:hyperlink r:id="rId4" w:history="1">
        <w:r w:rsidRPr="008B7578">
          <w:rPr>
            <w:rFonts w:ascii="Verdana" w:hAnsi="Verdana"/>
            <w:color w:val="404040"/>
            <w:sz w:val="22"/>
            <w:szCs w:val="22"/>
            <w:u w:color="404040"/>
            <w:lang w:val="fr-FR"/>
          </w:rPr>
          <w:t>https://jad.quintessenz.de/index.php?doc=abstract&amp;abstractID=44547</w:t>
        </w:r>
      </w:hyperlink>
    </w:p>
    <w:p w:rsidR="00CD08FE" w:rsidRPr="00F87BF4" w:rsidRDefault="00CD08FE" w:rsidP="00CD08FE">
      <w:pPr>
        <w:spacing w:line="360" w:lineRule="auto"/>
        <w:contextualSpacing/>
        <w:jc w:val="both"/>
        <w:rPr>
          <w:rFonts w:ascii="Verdana" w:hAnsi="Verdana"/>
          <w:color w:val="404040"/>
          <w:sz w:val="22"/>
          <w:szCs w:val="22"/>
          <w:u w:color="404040"/>
          <w:lang w:val="fr-FR"/>
        </w:rPr>
      </w:pPr>
      <w:r w:rsidRPr="00F87BF4">
        <w:rPr>
          <w:rFonts w:ascii="Verdana" w:hAnsi="Verdana"/>
          <w:color w:val="404040"/>
          <w:sz w:val="22"/>
          <w:szCs w:val="22"/>
          <w:u w:color="404040"/>
          <w:lang w:val="fr-FR"/>
        </w:rPr>
        <w:t>https://europe.gc.dental/sites/europe.gc.dental/files/products/downloads/equiaforte/reference/REF_Scientific_Sheet_EQUIA_family.pdf</w:t>
      </w:r>
    </w:p>
    <w:p w:rsidR="00CD08FE" w:rsidRPr="00F87BF4" w:rsidRDefault="00CD08FE" w:rsidP="00CD08FE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  <w:lang w:val="fr-FR"/>
        </w:rPr>
      </w:pPr>
    </w:p>
    <w:p w:rsidR="00CD08FE" w:rsidRPr="00ED2544" w:rsidRDefault="00CD08FE" w:rsidP="00CD08FE">
      <w:pPr>
        <w:pStyle w:val="NormalWeb"/>
        <w:rPr>
          <w:rStyle w:val="Lienhypertexte"/>
          <w:rFonts w:ascii="Verdana" w:hAnsi="Verdana"/>
          <w:spacing w:val="5"/>
          <w:kern w:val="28"/>
          <w:sz w:val="22"/>
          <w:szCs w:val="22"/>
          <w:lang w:val="fr-FR"/>
        </w:rPr>
      </w:pPr>
    </w:p>
    <w:p w:rsidR="00CD08FE" w:rsidRPr="00ED2544" w:rsidRDefault="00CD08FE" w:rsidP="00CD08FE">
      <w:pPr>
        <w:pStyle w:val="NormalWeb"/>
        <w:rPr>
          <w:rStyle w:val="Lienhypertexte"/>
          <w:rFonts w:ascii="Verdana" w:hAnsi="Verdana"/>
          <w:spacing w:val="5"/>
          <w:kern w:val="28"/>
          <w:sz w:val="22"/>
          <w:szCs w:val="22"/>
          <w:lang w:val="fr-FR"/>
        </w:rPr>
      </w:pPr>
      <w:r>
        <w:rPr>
          <w:noProof/>
        </w:rPr>
        <w:drawing>
          <wp:inline distT="0" distB="0" distL="0" distR="0" wp14:anchorId="0C1705F6" wp14:editId="6A4C6344">
            <wp:extent cx="1914525" cy="716915"/>
            <wp:effectExtent l="0" t="0" r="0" b="0"/>
            <wp:docPr id="4" name="Picture 4" descr="Une image contenant dessin, sign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E96" w:rsidRDefault="00D11E96"/>
    <w:sectPr w:rsidR="00D11E96" w:rsidSect="0069368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FE"/>
    <w:rsid w:val="00693683"/>
    <w:rsid w:val="00995AB9"/>
    <w:rsid w:val="00BE3DA6"/>
    <w:rsid w:val="00CD08FE"/>
    <w:rsid w:val="00D1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40EBF-6D78-CC45-A92A-7C8F0DAA0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8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D08FE"/>
    <w:rPr>
      <w:u w:val="single"/>
    </w:rPr>
  </w:style>
  <w:style w:type="paragraph" w:styleId="NormalWeb">
    <w:name w:val="Normal (Web)"/>
    <w:rsid w:val="00CD08FE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https://jad.quintessenz.de/index.php?doc=abstract&amp;abstractID=4454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Derique, Nathalie</dc:creator>
  <cp:keywords/>
  <dc:description/>
  <cp:lastModifiedBy>Cothenet, Candice</cp:lastModifiedBy>
  <cp:revision>2</cp:revision>
  <dcterms:created xsi:type="dcterms:W3CDTF">2020-07-17T09:32:00Z</dcterms:created>
  <dcterms:modified xsi:type="dcterms:W3CDTF">2020-07-17T09:32:00Z</dcterms:modified>
</cp:coreProperties>
</file>