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E9C3D" w14:textId="77777777" w:rsidR="00B42935" w:rsidRPr="00AD2D8E" w:rsidRDefault="00345830">
      <w:pPr>
        <w:spacing w:before="63"/>
        <w:ind w:right="252"/>
        <w:jc w:val="right"/>
        <w:rPr>
          <w:b/>
          <w:sz w:val="30"/>
          <w:lang w:val="de-DE"/>
        </w:rPr>
      </w:pPr>
      <w:r w:rsidRPr="00AD2D8E">
        <w:rPr>
          <w:b/>
          <w:color w:val="0A0A0A"/>
          <w:w w:val="115"/>
          <w:sz w:val="30"/>
          <w:u w:val="thick" w:color="0A0A0A"/>
          <w:lang w:val="de-DE"/>
        </w:rPr>
        <w:t>Pressemitteilung</w:t>
      </w:r>
    </w:p>
    <w:p w14:paraId="5ADC95FE" w14:textId="77777777" w:rsidR="00B42935" w:rsidRPr="00AD2D8E" w:rsidRDefault="00B42935">
      <w:pPr>
        <w:pStyle w:val="Textkrper"/>
        <w:rPr>
          <w:b/>
          <w:sz w:val="20"/>
          <w:lang w:val="de-DE"/>
        </w:rPr>
      </w:pPr>
    </w:p>
    <w:p w14:paraId="5B731633" w14:textId="77777777" w:rsidR="00B42935" w:rsidRPr="00AD2D8E" w:rsidRDefault="00B42935">
      <w:pPr>
        <w:pStyle w:val="Textkrper"/>
        <w:spacing w:before="1"/>
        <w:rPr>
          <w:b/>
          <w:sz w:val="20"/>
          <w:lang w:val="de-DE"/>
        </w:rPr>
      </w:pPr>
    </w:p>
    <w:p w14:paraId="69279611" w14:textId="77777777" w:rsidR="00B42935" w:rsidRPr="00AD2D8E" w:rsidRDefault="00345830">
      <w:pPr>
        <w:spacing w:before="92"/>
        <w:ind w:left="129"/>
        <w:jc w:val="both"/>
        <w:rPr>
          <w:sz w:val="25"/>
          <w:lang w:val="de-DE"/>
        </w:rPr>
      </w:pPr>
      <w:r w:rsidRPr="00AD2D8E">
        <w:rPr>
          <w:color w:val="0A0A0A"/>
          <w:w w:val="110"/>
          <w:sz w:val="25"/>
          <w:u w:val="thick" w:color="0A0A0A"/>
          <w:lang w:val="de-DE"/>
        </w:rPr>
        <w:t>Neue Microsite bietet sichere und effektive Behandlungsmöglichkeiten</w:t>
      </w:r>
    </w:p>
    <w:p w14:paraId="2EB4E776" w14:textId="77777777" w:rsidR="00B42935" w:rsidRPr="00AD2D8E" w:rsidRDefault="00B42935">
      <w:pPr>
        <w:pStyle w:val="Textkrper"/>
        <w:spacing w:before="2"/>
        <w:rPr>
          <w:sz w:val="38"/>
          <w:lang w:val="de-DE"/>
        </w:rPr>
      </w:pPr>
    </w:p>
    <w:p w14:paraId="6D20792C" w14:textId="71281677" w:rsidR="00B42935" w:rsidRPr="00AD2D8E" w:rsidRDefault="00345830">
      <w:pPr>
        <w:pStyle w:val="berschrift1"/>
        <w:spacing w:line="360" w:lineRule="auto"/>
        <w:ind w:left="128" w:right="266"/>
        <w:jc w:val="both"/>
        <w:rPr>
          <w:lang w:val="de-DE"/>
        </w:rPr>
      </w:pPr>
      <w:r w:rsidRPr="00AD2D8E">
        <w:rPr>
          <w:color w:val="0A0A0A"/>
          <w:w w:val="110"/>
          <w:lang w:val="de-DE"/>
        </w:rPr>
        <w:t>GC Europe präsentiert Safe4Dentistry.com, ein Ressourcen­ Zentrum für Zahnärzte zur Reduzierung der Risiken durch Aerosole während der</w:t>
      </w:r>
      <w:r w:rsidRPr="00AD2D8E">
        <w:rPr>
          <w:color w:val="0A0A0A"/>
          <w:spacing w:val="68"/>
          <w:w w:val="110"/>
          <w:lang w:val="de-DE"/>
        </w:rPr>
        <w:t xml:space="preserve"> </w:t>
      </w:r>
      <w:r w:rsidRPr="00AD2D8E">
        <w:rPr>
          <w:color w:val="0A0A0A"/>
          <w:w w:val="110"/>
          <w:lang w:val="de-DE"/>
        </w:rPr>
        <w:t>Behandlung.</w:t>
      </w:r>
    </w:p>
    <w:p w14:paraId="11D58EFD" w14:textId="77777777" w:rsidR="00B42935" w:rsidRPr="00AD2D8E" w:rsidRDefault="00B42935">
      <w:pPr>
        <w:pStyle w:val="Textkrper"/>
        <w:spacing w:before="10"/>
        <w:rPr>
          <w:b/>
          <w:sz w:val="42"/>
          <w:lang w:val="de-DE"/>
        </w:rPr>
      </w:pPr>
    </w:p>
    <w:p w14:paraId="48DB3915" w14:textId="77777777" w:rsidR="00B42935" w:rsidRPr="00AD2D8E" w:rsidRDefault="00345830">
      <w:pPr>
        <w:pStyle w:val="Textkrper"/>
        <w:spacing w:line="367" w:lineRule="auto"/>
        <w:ind w:left="128" w:right="264" w:hanging="12"/>
        <w:jc w:val="both"/>
        <w:rPr>
          <w:lang w:val="de-DE"/>
        </w:rPr>
      </w:pPr>
      <w:r w:rsidRPr="00AD2D8E">
        <w:rPr>
          <w:color w:val="0A0A0A"/>
          <w:w w:val="105"/>
          <w:lang w:val="de-DE"/>
        </w:rPr>
        <w:t>In Anbetracht der dramatischen Auswirkungen von COVID-19 auf die zahnärztliche Praxis hat GC eine Microsite entwickelt, die die neuesten Aktualisierungen der sich entwickelnden Richtlinien für Zahnärzte</w:t>
      </w:r>
      <w:r w:rsidRPr="00AD2D8E">
        <w:rPr>
          <w:color w:val="0A0A0A"/>
          <w:spacing w:val="-14"/>
          <w:w w:val="105"/>
          <w:lang w:val="de-DE"/>
        </w:rPr>
        <w:t xml:space="preserve"> </w:t>
      </w:r>
      <w:r w:rsidRPr="00AD2D8E">
        <w:rPr>
          <w:color w:val="0A0A0A"/>
          <w:w w:val="105"/>
          <w:lang w:val="de-DE"/>
        </w:rPr>
        <w:t>bereitstellt.</w:t>
      </w:r>
    </w:p>
    <w:p w14:paraId="1D29A4CF" w14:textId="616734EF" w:rsidR="00B42935" w:rsidRPr="00AD2D8E" w:rsidRDefault="00345830">
      <w:pPr>
        <w:pStyle w:val="Textkrper"/>
        <w:spacing w:line="364" w:lineRule="auto"/>
        <w:ind w:left="128" w:right="262" w:hanging="1"/>
        <w:jc w:val="both"/>
        <w:rPr>
          <w:lang w:val="de-DE"/>
        </w:rPr>
      </w:pPr>
      <w:r w:rsidRPr="00AD2D8E">
        <w:rPr>
          <w:color w:val="0A0A0A"/>
          <w:w w:val="105"/>
          <w:lang w:val="de-DE"/>
        </w:rPr>
        <w:t>Safe4Dentistry.com ist ein ständig aktualisiertes Ressourcen-Zentrum, welches sichere und effektive minimalinvasive zahnärztliche Behandlungsmöglichkeiten und -daten zur Verfügung stellt, einschließlich Informationen darüber, wie die Aerosolproduktion reduziert werden kann, um Personal und Patienten während der stattfindenden Termine zu</w:t>
      </w:r>
      <w:r w:rsidRPr="00AD2D8E">
        <w:rPr>
          <w:color w:val="0A0A0A"/>
          <w:spacing w:val="-2"/>
          <w:w w:val="105"/>
          <w:lang w:val="de-DE"/>
        </w:rPr>
        <w:t xml:space="preserve"> </w:t>
      </w:r>
      <w:r w:rsidRPr="00AD2D8E">
        <w:rPr>
          <w:color w:val="0A0A0A"/>
          <w:w w:val="105"/>
          <w:lang w:val="de-DE"/>
        </w:rPr>
        <w:t>schützen.</w:t>
      </w:r>
    </w:p>
    <w:p w14:paraId="61A46C4B" w14:textId="77777777" w:rsidR="00B42935" w:rsidRPr="00AD2D8E" w:rsidRDefault="00B42935">
      <w:pPr>
        <w:pStyle w:val="Textkrper"/>
        <w:spacing w:before="6"/>
        <w:rPr>
          <w:sz w:val="33"/>
          <w:lang w:val="de-DE"/>
        </w:rPr>
      </w:pPr>
    </w:p>
    <w:p w14:paraId="7BDB63F1" w14:textId="4202C204" w:rsidR="00B42935" w:rsidRPr="00AD2D8E" w:rsidRDefault="00345830">
      <w:pPr>
        <w:pStyle w:val="Textkrper"/>
        <w:spacing w:line="364" w:lineRule="auto"/>
        <w:ind w:left="117" w:right="259" w:firstLine="8"/>
        <w:jc w:val="both"/>
        <w:rPr>
          <w:lang w:val="de-DE"/>
        </w:rPr>
      </w:pPr>
      <w:r w:rsidRPr="00AD2D8E">
        <w:rPr>
          <w:color w:val="0A0A0A"/>
          <w:w w:val="105"/>
          <w:lang w:val="de-DE"/>
        </w:rPr>
        <w:t>Die Website Safe4Dentistry.com ist mit Podcasts, klinischen Fallbeispielen, Fortbildungskursen (CE) mit Zugang zu Live-Webinaren, aktuellen Artikeln und weiteren Informationen gefüllt. Zu den Themen gehören die Platzierung minimalinvasi</w:t>
      </w:r>
      <w:r w:rsidR="00F93C6E">
        <w:rPr>
          <w:color w:val="0A0A0A"/>
          <w:w w:val="105"/>
          <w:lang w:val="de-DE"/>
        </w:rPr>
        <w:t>v</w:t>
      </w:r>
      <w:r w:rsidRPr="00AD2D8E">
        <w:rPr>
          <w:color w:val="0A0A0A"/>
          <w:w w:val="105"/>
          <w:lang w:val="de-DE"/>
        </w:rPr>
        <w:t>er, aerosolarmer Füllungen, die Vorgehensweise bei Notfallbehand</w:t>
      </w:r>
      <w:r w:rsidR="00AD2D8E">
        <w:rPr>
          <w:color w:val="0A0A0A"/>
          <w:w w:val="105"/>
          <w:lang w:val="de-DE"/>
        </w:rPr>
        <w:t>l</w:t>
      </w:r>
      <w:r w:rsidRPr="00AD2D8E">
        <w:rPr>
          <w:color w:val="0A0A0A"/>
          <w:w w:val="105"/>
          <w:lang w:val="de-DE"/>
        </w:rPr>
        <w:t>ungen, Möglichkeiten, die Zahnarztpraxis sicher und geschützt zu gestalten und vieles</w:t>
      </w:r>
      <w:r w:rsidRPr="00AD2D8E">
        <w:rPr>
          <w:color w:val="0A0A0A"/>
          <w:spacing w:val="51"/>
          <w:w w:val="105"/>
          <w:lang w:val="de-DE"/>
        </w:rPr>
        <w:t xml:space="preserve"> </w:t>
      </w:r>
      <w:r w:rsidRPr="00AD2D8E">
        <w:rPr>
          <w:color w:val="0A0A0A"/>
          <w:w w:val="105"/>
          <w:lang w:val="de-DE"/>
        </w:rPr>
        <w:t>mehr.</w:t>
      </w:r>
    </w:p>
    <w:p w14:paraId="2A960791" w14:textId="77777777" w:rsidR="00B42935" w:rsidRPr="00AD2D8E" w:rsidRDefault="00B42935">
      <w:pPr>
        <w:pStyle w:val="Textkrper"/>
        <w:spacing w:before="4"/>
        <w:rPr>
          <w:sz w:val="35"/>
          <w:lang w:val="de-DE"/>
        </w:rPr>
      </w:pPr>
    </w:p>
    <w:p w14:paraId="58AD189F" w14:textId="6BC3A7F7" w:rsidR="00B42935" w:rsidRPr="00AD2D8E" w:rsidRDefault="00345830">
      <w:pPr>
        <w:pStyle w:val="Textkrper"/>
        <w:spacing w:line="364" w:lineRule="auto"/>
        <w:ind w:left="120" w:right="262" w:firstLine="5"/>
        <w:jc w:val="both"/>
        <w:rPr>
          <w:lang w:val="de-DE"/>
        </w:rPr>
      </w:pPr>
      <w:r w:rsidRPr="00AD2D8E">
        <w:rPr>
          <w:color w:val="0A0A0A"/>
          <w:w w:val="105"/>
          <w:lang w:val="de-DE"/>
        </w:rPr>
        <w:t xml:space="preserve">Minimalinvasive Restaurationstechniken </w:t>
      </w:r>
      <w:r w:rsidR="0026709A">
        <w:rPr>
          <w:color w:val="0A0A0A"/>
          <w:w w:val="105"/>
          <w:lang w:val="de-DE"/>
        </w:rPr>
        <w:t>reduzieren</w:t>
      </w:r>
      <w:r w:rsidRPr="00AD2D8E">
        <w:rPr>
          <w:color w:val="0A0A0A"/>
          <w:w w:val="105"/>
          <w:lang w:val="de-DE"/>
        </w:rPr>
        <w:t xml:space="preserve"> die Notwendigkeit von </w:t>
      </w:r>
      <w:r w:rsidR="0026709A">
        <w:rPr>
          <w:color w:val="0A0A0A"/>
          <w:w w:val="105"/>
          <w:lang w:val="de-DE"/>
        </w:rPr>
        <w:t>rotierenden Instrumenten</w:t>
      </w:r>
      <w:r w:rsidRPr="00AD2D8E">
        <w:rPr>
          <w:color w:val="0A0A0A"/>
          <w:w w:val="105"/>
          <w:lang w:val="de-DE"/>
        </w:rPr>
        <w:t>, die mit hoher Geschwindigkeit eingesetzt werden</w:t>
      </w:r>
      <w:r w:rsidR="0026709A">
        <w:rPr>
          <w:color w:val="0A0A0A"/>
          <w:w w:val="105"/>
          <w:lang w:val="de-DE"/>
        </w:rPr>
        <w:t>.</w:t>
      </w:r>
      <w:bookmarkStart w:id="0" w:name="_GoBack"/>
      <w:bookmarkEnd w:id="0"/>
      <w:r w:rsidRPr="00AD2D8E">
        <w:rPr>
          <w:color w:val="1C1C1C"/>
          <w:w w:val="105"/>
          <w:lang w:val="de-DE"/>
        </w:rPr>
        <w:t xml:space="preserve"> </w:t>
      </w:r>
      <w:r w:rsidRPr="00AD2D8E">
        <w:rPr>
          <w:color w:val="0A0A0A"/>
          <w:w w:val="105"/>
          <w:lang w:val="de-DE"/>
        </w:rPr>
        <w:t xml:space="preserve">Die dabei entstehenden Aerosole können sowohl die Patienten als auch die Behandler beeinträchtigen. Durch die Verwendung von </w:t>
      </w:r>
      <w:proofErr w:type="spellStart"/>
      <w:r w:rsidRPr="00AD2D8E">
        <w:rPr>
          <w:color w:val="0A0A0A"/>
          <w:w w:val="105"/>
          <w:lang w:val="de-DE"/>
        </w:rPr>
        <w:t>Glasionomer</w:t>
      </w:r>
      <w:proofErr w:type="spellEnd"/>
      <w:r w:rsidRPr="00AD2D8E">
        <w:rPr>
          <w:color w:val="0A0A0A"/>
          <w:w w:val="105"/>
          <w:lang w:val="de-DE"/>
        </w:rPr>
        <w:t>- und Glas-Hybrid-Restauratio</w:t>
      </w:r>
      <w:r>
        <w:rPr>
          <w:color w:val="0A0A0A"/>
          <w:w w:val="105"/>
          <w:lang w:val="de-DE"/>
        </w:rPr>
        <w:t>n</w:t>
      </w:r>
      <w:r w:rsidRPr="00AD2D8E">
        <w:rPr>
          <w:color w:val="0A0A0A"/>
          <w:w w:val="105"/>
          <w:lang w:val="de-DE"/>
        </w:rPr>
        <w:t xml:space="preserve">stechnologien kann man Übergangs- und Langzeit-Restaurationslösungen anbieten. Die vorgestellten Fälle zeigen, wie durch den unterschiedlichen Gebrauch von Glas-Hybriden, traditionellen Materialien und Verfahrensweisen Aerosole reduziert werden können. Zum Beispiel durch die Verwendung von Materialien wie EQUIA Forte® HT, ein Glas-Hybrid­ Restaurationsmaterial, welches keine </w:t>
      </w:r>
      <w:r w:rsidR="0026709A">
        <w:rPr>
          <w:color w:val="0A0A0A"/>
          <w:w w:val="105"/>
          <w:lang w:val="de-DE"/>
        </w:rPr>
        <w:t>rotierenden Instrumente</w:t>
      </w:r>
      <w:r w:rsidR="0026709A" w:rsidRPr="00AD2D8E">
        <w:rPr>
          <w:color w:val="0A0A0A"/>
          <w:w w:val="105"/>
          <w:lang w:val="de-DE"/>
        </w:rPr>
        <w:t xml:space="preserve"> </w:t>
      </w:r>
      <w:r w:rsidRPr="00AD2D8E">
        <w:rPr>
          <w:color w:val="0A0A0A"/>
          <w:w w:val="105"/>
          <w:lang w:val="de-DE"/>
        </w:rPr>
        <w:t xml:space="preserve">mit hoher Geschwindigkeit </w:t>
      </w:r>
      <w:r w:rsidR="002E0F73">
        <w:rPr>
          <w:color w:val="0A0A0A"/>
          <w:w w:val="105"/>
          <w:lang w:val="de-DE"/>
        </w:rPr>
        <w:t>o</w:t>
      </w:r>
      <w:r w:rsidRPr="00AD2D8E">
        <w:rPr>
          <w:color w:val="0A0A0A"/>
          <w:w w:val="105"/>
          <w:lang w:val="de-DE"/>
        </w:rPr>
        <w:t>der umfangreiche Zahnpräparationen erfordert.</w:t>
      </w:r>
    </w:p>
    <w:p w14:paraId="03966887" w14:textId="77777777" w:rsidR="00B42935" w:rsidRPr="00AD2D8E" w:rsidRDefault="00B42935">
      <w:pPr>
        <w:spacing w:line="364" w:lineRule="auto"/>
        <w:jc w:val="both"/>
        <w:rPr>
          <w:lang w:val="de-DE"/>
        </w:rPr>
        <w:sectPr w:rsidR="00B42935" w:rsidRPr="00AD2D8E">
          <w:type w:val="continuous"/>
          <w:pgSz w:w="11910" w:h="16840"/>
          <w:pgMar w:top="1160" w:right="940" w:bottom="280" w:left="900" w:header="720" w:footer="720" w:gutter="0"/>
          <w:cols w:space="720"/>
        </w:sectPr>
      </w:pPr>
    </w:p>
    <w:p w14:paraId="3C34B193" w14:textId="42FE114B" w:rsidR="00B42935" w:rsidRPr="00AD2D8E" w:rsidRDefault="0026709A">
      <w:pPr>
        <w:pStyle w:val="Textkrper"/>
        <w:spacing w:before="80" w:line="364" w:lineRule="auto"/>
        <w:ind w:left="309" w:right="108" w:firstLine="3"/>
        <w:jc w:val="both"/>
        <w:rPr>
          <w:lang w:val="de-DE"/>
        </w:rPr>
      </w:pPr>
      <w:r>
        <w:rPr>
          <w:noProof/>
        </w:rPr>
        <w:lastRenderedPageBreak/>
        <mc:AlternateContent>
          <mc:Choice Requires="wps">
            <w:drawing>
              <wp:anchor distT="0" distB="0" distL="114300" distR="114300" simplePos="0" relativeHeight="15728640" behindDoc="0" locked="0" layoutInCell="1" allowOverlap="1" wp14:anchorId="591E7196" wp14:editId="0361336A">
                <wp:simplePos x="0" y="0"/>
                <wp:positionH relativeFrom="page">
                  <wp:posOffset>8890</wp:posOffset>
                </wp:positionH>
                <wp:positionV relativeFrom="page">
                  <wp:posOffset>7567930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6EE1B02"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595.9pt" to=".7pt,5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" strokeweight=".25442mm">
                <w10:wrap anchorx="page" anchory="page"/>
              </v:line>
            </w:pict>
          </mc:Fallback>
        </mc:AlternateContent>
      </w:r>
      <w:r w:rsidR="00345830" w:rsidRPr="00AD2D8E">
        <w:rPr>
          <w:color w:val="0E0E0E"/>
          <w:w w:val="110"/>
          <w:lang w:val="de-DE"/>
        </w:rPr>
        <w:t>Die Umsetzung der Vorschriften ist für die Sicherheit von Patienten und Personal von größter Bedeutung, aber die sich schnell ändernden Empfehlungen und Richtlinien im Auge zu behalten, kann entmutigend sein. Auf der Microsite erfährt man unter „Safe &amp; Secure Practice" die neuesten Aktualisierungen der entwickelten Richtlinien von Organisationen</w:t>
      </w:r>
      <w:r w:rsidR="00345830" w:rsidRPr="00AD2D8E">
        <w:rPr>
          <w:color w:val="0E0E0E"/>
          <w:spacing w:val="-49"/>
          <w:w w:val="110"/>
          <w:lang w:val="de-DE"/>
        </w:rPr>
        <w:t xml:space="preserve"> </w:t>
      </w:r>
      <w:r w:rsidR="00345830" w:rsidRPr="00AD2D8E">
        <w:rPr>
          <w:color w:val="0E0E0E"/>
          <w:w w:val="110"/>
          <w:lang w:val="de-DE"/>
        </w:rPr>
        <w:t>wie</w:t>
      </w:r>
      <w:r w:rsidR="00345830" w:rsidRPr="00AD2D8E">
        <w:rPr>
          <w:color w:val="0E0E0E"/>
          <w:spacing w:val="-46"/>
          <w:w w:val="110"/>
          <w:lang w:val="de-DE"/>
        </w:rPr>
        <w:t xml:space="preserve"> </w:t>
      </w:r>
      <w:r w:rsidR="00345830" w:rsidRPr="00AD2D8E">
        <w:rPr>
          <w:color w:val="0E0E0E"/>
          <w:w w:val="110"/>
          <w:lang w:val="de-DE"/>
        </w:rPr>
        <w:t>WHO,</w:t>
      </w:r>
      <w:r w:rsidR="00345830" w:rsidRPr="00AD2D8E">
        <w:rPr>
          <w:color w:val="0E0E0E"/>
          <w:spacing w:val="-47"/>
          <w:w w:val="110"/>
          <w:lang w:val="de-DE"/>
        </w:rPr>
        <w:t xml:space="preserve"> </w:t>
      </w:r>
      <w:r w:rsidR="00345830" w:rsidRPr="00AD2D8E">
        <w:rPr>
          <w:color w:val="0E0E0E"/>
          <w:w w:val="110"/>
          <w:lang w:val="de-DE"/>
        </w:rPr>
        <w:t>FDI</w:t>
      </w:r>
      <w:r w:rsidR="00345830" w:rsidRPr="00AD2D8E">
        <w:rPr>
          <w:color w:val="0E0E0E"/>
          <w:spacing w:val="-53"/>
          <w:w w:val="110"/>
          <w:lang w:val="de-DE"/>
        </w:rPr>
        <w:t xml:space="preserve"> </w:t>
      </w:r>
      <w:r w:rsidR="00345830" w:rsidRPr="00AD2D8E">
        <w:rPr>
          <w:color w:val="0E0E0E"/>
          <w:w w:val="110"/>
          <w:lang w:val="de-DE"/>
        </w:rPr>
        <w:t>und</w:t>
      </w:r>
      <w:r w:rsidR="00345830" w:rsidRPr="00AD2D8E">
        <w:rPr>
          <w:color w:val="0E0E0E"/>
          <w:spacing w:val="-46"/>
          <w:w w:val="110"/>
          <w:lang w:val="de-DE"/>
        </w:rPr>
        <w:t xml:space="preserve"> </w:t>
      </w:r>
      <w:r w:rsidR="00345830" w:rsidRPr="00AD2D8E">
        <w:rPr>
          <w:color w:val="0E0E0E"/>
          <w:w w:val="110"/>
          <w:lang w:val="de-DE"/>
        </w:rPr>
        <w:t>vielen</w:t>
      </w:r>
      <w:r w:rsidR="00345830" w:rsidRPr="00AD2D8E">
        <w:rPr>
          <w:color w:val="0E0E0E"/>
          <w:spacing w:val="-45"/>
          <w:w w:val="110"/>
          <w:lang w:val="de-DE"/>
        </w:rPr>
        <w:t xml:space="preserve"> </w:t>
      </w:r>
      <w:r w:rsidR="00345830" w:rsidRPr="00AD2D8E">
        <w:rPr>
          <w:color w:val="0E0E0E"/>
          <w:w w:val="110"/>
          <w:lang w:val="de-DE"/>
        </w:rPr>
        <w:t>anderen</w:t>
      </w:r>
      <w:r w:rsidR="00345830" w:rsidRPr="00AD2D8E">
        <w:rPr>
          <w:color w:val="0E0E0E"/>
          <w:spacing w:val="-44"/>
          <w:w w:val="110"/>
          <w:lang w:val="de-DE"/>
        </w:rPr>
        <w:t xml:space="preserve"> </w:t>
      </w:r>
      <w:r w:rsidR="00345830" w:rsidRPr="00AD2D8E">
        <w:rPr>
          <w:color w:val="0E0E0E"/>
          <w:w w:val="110"/>
          <w:lang w:val="de-DE"/>
        </w:rPr>
        <w:t>europäischen</w:t>
      </w:r>
      <w:r w:rsidR="00345830" w:rsidRPr="00AD2D8E">
        <w:rPr>
          <w:color w:val="0E0E0E"/>
          <w:spacing w:val="-37"/>
          <w:w w:val="110"/>
          <w:lang w:val="de-DE"/>
        </w:rPr>
        <w:t xml:space="preserve"> </w:t>
      </w:r>
      <w:r w:rsidR="00345830" w:rsidRPr="00AD2D8E">
        <w:rPr>
          <w:color w:val="0E0E0E"/>
          <w:w w:val="110"/>
          <w:lang w:val="de-DE"/>
        </w:rPr>
        <w:t>Verbänden,</w:t>
      </w:r>
      <w:r w:rsidR="00345830" w:rsidRPr="00AD2D8E">
        <w:rPr>
          <w:color w:val="0E0E0E"/>
          <w:spacing w:val="-44"/>
          <w:w w:val="110"/>
          <w:lang w:val="de-DE"/>
        </w:rPr>
        <w:t xml:space="preserve"> </w:t>
      </w:r>
      <w:r w:rsidR="00345830" w:rsidRPr="00AD2D8E">
        <w:rPr>
          <w:color w:val="0E0E0E"/>
          <w:w w:val="110"/>
          <w:lang w:val="de-DE"/>
        </w:rPr>
        <w:t>dazu</w:t>
      </w:r>
      <w:r w:rsidR="00345830" w:rsidRPr="00AD2D8E">
        <w:rPr>
          <w:color w:val="0E0E0E"/>
          <w:spacing w:val="-47"/>
          <w:w w:val="110"/>
          <w:lang w:val="de-DE"/>
        </w:rPr>
        <w:t xml:space="preserve"> </w:t>
      </w:r>
      <w:r w:rsidR="00345830" w:rsidRPr="00AD2D8E">
        <w:rPr>
          <w:color w:val="0E0E0E"/>
          <w:w w:val="110"/>
          <w:lang w:val="de-DE"/>
        </w:rPr>
        <w:t>Schritt­ für-Schritt-Verfahren sowie relevante Artikel und Materialien für</w:t>
      </w:r>
      <w:r w:rsidR="00345830" w:rsidRPr="00AD2D8E">
        <w:rPr>
          <w:color w:val="0E0E0E"/>
          <w:spacing w:val="19"/>
          <w:w w:val="110"/>
          <w:lang w:val="de-DE"/>
        </w:rPr>
        <w:t xml:space="preserve"> </w:t>
      </w:r>
      <w:r w:rsidR="00345830" w:rsidRPr="00AD2D8E">
        <w:rPr>
          <w:color w:val="0E0E0E"/>
          <w:w w:val="110"/>
          <w:lang w:val="de-DE"/>
        </w:rPr>
        <w:t>Zahnärzte.</w:t>
      </w:r>
    </w:p>
    <w:p w14:paraId="4C8D2686" w14:textId="77777777" w:rsidR="00B42935" w:rsidRPr="00AD2D8E" w:rsidRDefault="00B42935">
      <w:pPr>
        <w:pStyle w:val="Textkrper"/>
        <w:spacing w:before="8"/>
        <w:rPr>
          <w:sz w:val="34"/>
          <w:lang w:val="de-DE"/>
        </w:rPr>
      </w:pPr>
    </w:p>
    <w:p w14:paraId="5E0BBF84" w14:textId="77777777" w:rsidR="00B42935" w:rsidRPr="00AD2D8E" w:rsidRDefault="00345830">
      <w:pPr>
        <w:pStyle w:val="Textkrper"/>
        <w:spacing w:line="364" w:lineRule="auto"/>
        <w:ind w:left="304" w:right="112" w:firstLine="4"/>
        <w:jc w:val="both"/>
        <w:rPr>
          <w:lang w:val="de-DE"/>
        </w:rPr>
      </w:pPr>
      <w:r w:rsidRPr="00AD2D8E">
        <w:rPr>
          <w:color w:val="0E0E0E"/>
          <w:w w:val="105"/>
          <w:lang w:val="de-DE"/>
        </w:rPr>
        <w:t>Der Bereich „Resources" enthält systematische Übersichten, zusätzliche Tutorials, Webinare</w:t>
      </w:r>
      <w:r w:rsidRPr="00AD2D8E">
        <w:rPr>
          <w:color w:val="0E0E0E"/>
          <w:spacing w:val="2"/>
          <w:w w:val="105"/>
          <w:lang w:val="de-DE"/>
        </w:rPr>
        <w:t xml:space="preserve"> </w:t>
      </w:r>
      <w:r w:rsidRPr="00AD2D8E">
        <w:rPr>
          <w:color w:val="0E0E0E"/>
          <w:w w:val="105"/>
          <w:lang w:val="de-DE"/>
        </w:rPr>
        <w:t>und</w:t>
      </w:r>
      <w:r w:rsidRPr="00AD2D8E">
        <w:rPr>
          <w:color w:val="0E0E0E"/>
          <w:spacing w:val="-15"/>
          <w:w w:val="105"/>
          <w:lang w:val="de-DE"/>
        </w:rPr>
        <w:t xml:space="preserve"> </w:t>
      </w:r>
      <w:r w:rsidRPr="00AD2D8E">
        <w:rPr>
          <w:color w:val="0E0E0E"/>
          <w:w w:val="105"/>
          <w:lang w:val="de-DE"/>
        </w:rPr>
        <w:t>Podcasts.</w:t>
      </w:r>
      <w:r w:rsidRPr="00AD2D8E">
        <w:rPr>
          <w:color w:val="0E0E0E"/>
          <w:spacing w:val="11"/>
          <w:w w:val="105"/>
          <w:lang w:val="de-DE"/>
        </w:rPr>
        <w:t xml:space="preserve"> </w:t>
      </w:r>
      <w:r w:rsidRPr="00AD2D8E">
        <w:rPr>
          <w:color w:val="0E0E0E"/>
          <w:w w:val="105"/>
          <w:lang w:val="de-DE"/>
        </w:rPr>
        <w:t>Zu</w:t>
      </w:r>
      <w:r w:rsidRPr="00AD2D8E">
        <w:rPr>
          <w:color w:val="0E0E0E"/>
          <w:spacing w:val="-15"/>
          <w:w w:val="105"/>
          <w:lang w:val="de-DE"/>
        </w:rPr>
        <w:t xml:space="preserve"> </w:t>
      </w:r>
      <w:r w:rsidRPr="00AD2D8E">
        <w:rPr>
          <w:color w:val="0E0E0E"/>
          <w:w w:val="105"/>
          <w:lang w:val="de-DE"/>
        </w:rPr>
        <w:t>den</w:t>
      </w:r>
      <w:r w:rsidRPr="00AD2D8E">
        <w:rPr>
          <w:color w:val="0E0E0E"/>
          <w:spacing w:val="-12"/>
          <w:w w:val="105"/>
          <w:lang w:val="de-DE"/>
        </w:rPr>
        <w:t xml:space="preserve"> </w:t>
      </w:r>
      <w:r w:rsidRPr="00AD2D8E">
        <w:rPr>
          <w:color w:val="0E0E0E"/>
          <w:w w:val="105"/>
          <w:lang w:val="de-DE"/>
        </w:rPr>
        <w:t>Referenten</w:t>
      </w:r>
      <w:r w:rsidRPr="00AD2D8E">
        <w:rPr>
          <w:color w:val="0E0E0E"/>
          <w:spacing w:val="4"/>
          <w:w w:val="105"/>
          <w:lang w:val="de-DE"/>
        </w:rPr>
        <w:t xml:space="preserve"> </w:t>
      </w:r>
      <w:r w:rsidRPr="00AD2D8E">
        <w:rPr>
          <w:color w:val="0E0E0E"/>
          <w:w w:val="105"/>
          <w:lang w:val="de-DE"/>
        </w:rPr>
        <w:t>gehören Prof.</w:t>
      </w:r>
      <w:r w:rsidRPr="00AD2D8E">
        <w:rPr>
          <w:color w:val="0E0E0E"/>
          <w:spacing w:val="-5"/>
          <w:w w:val="105"/>
          <w:lang w:val="de-DE"/>
        </w:rPr>
        <w:t xml:space="preserve"> </w:t>
      </w:r>
      <w:r w:rsidRPr="00AD2D8E">
        <w:rPr>
          <w:color w:val="0E0E0E"/>
          <w:w w:val="105"/>
          <w:lang w:val="de-DE"/>
        </w:rPr>
        <w:t>Dr.</w:t>
      </w:r>
      <w:r w:rsidRPr="00AD2D8E">
        <w:rPr>
          <w:color w:val="0E0E0E"/>
          <w:spacing w:val="-23"/>
          <w:w w:val="105"/>
          <w:lang w:val="de-DE"/>
        </w:rPr>
        <w:t xml:space="preserve"> </w:t>
      </w:r>
      <w:r w:rsidRPr="00AD2D8E">
        <w:rPr>
          <w:color w:val="0E0E0E"/>
          <w:w w:val="105"/>
          <w:lang w:val="de-DE"/>
        </w:rPr>
        <w:t>Ivana Miletic,</w:t>
      </w:r>
      <w:r w:rsidRPr="00AD2D8E">
        <w:rPr>
          <w:color w:val="0E0E0E"/>
          <w:spacing w:val="-14"/>
          <w:w w:val="105"/>
          <w:lang w:val="de-DE"/>
        </w:rPr>
        <w:t xml:space="preserve"> </w:t>
      </w:r>
      <w:r w:rsidRPr="00AD2D8E">
        <w:rPr>
          <w:color w:val="0E0E0E"/>
          <w:w w:val="105"/>
          <w:lang w:val="de-DE"/>
        </w:rPr>
        <w:t>Prof.</w:t>
      </w:r>
      <w:r w:rsidRPr="00AD2D8E">
        <w:rPr>
          <w:color w:val="0E0E0E"/>
          <w:spacing w:val="-5"/>
          <w:w w:val="105"/>
          <w:lang w:val="de-DE"/>
        </w:rPr>
        <w:t xml:space="preserve"> </w:t>
      </w:r>
      <w:r w:rsidRPr="00AD2D8E">
        <w:rPr>
          <w:color w:val="0E0E0E"/>
          <w:w w:val="105"/>
          <w:lang w:val="de-DE"/>
        </w:rPr>
        <w:t>Dr.</w:t>
      </w:r>
      <w:r w:rsidRPr="00AD2D8E">
        <w:rPr>
          <w:color w:val="0E0E0E"/>
          <w:spacing w:val="-10"/>
          <w:w w:val="105"/>
          <w:lang w:val="de-DE"/>
        </w:rPr>
        <w:t xml:space="preserve"> </w:t>
      </w:r>
      <w:r w:rsidRPr="00AD2D8E">
        <w:rPr>
          <w:color w:val="0E0E0E"/>
          <w:w w:val="105"/>
          <w:lang w:val="de-DE"/>
        </w:rPr>
        <w:t xml:space="preserve">Sevil </w:t>
      </w:r>
      <w:proofErr w:type="spellStart"/>
      <w:r w:rsidRPr="00AD2D8E">
        <w:rPr>
          <w:color w:val="0E0E0E"/>
          <w:w w:val="105"/>
          <w:lang w:val="de-DE"/>
        </w:rPr>
        <w:t>Gürgan</w:t>
      </w:r>
      <w:proofErr w:type="spellEnd"/>
      <w:r w:rsidRPr="00AD2D8E">
        <w:rPr>
          <w:color w:val="0E0E0E"/>
          <w:w w:val="105"/>
          <w:lang w:val="de-DE"/>
        </w:rPr>
        <w:t xml:space="preserve">, Prof. Dr. </w:t>
      </w:r>
      <w:proofErr w:type="spellStart"/>
      <w:r w:rsidRPr="00AD2D8E">
        <w:rPr>
          <w:color w:val="0E0E0E"/>
          <w:w w:val="105"/>
          <w:lang w:val="de-DE"/>
        </w:rPr>
        <w:t>Sebnem</w:t>
      </w:r>
      <w:proofErr w:type="spellEnd"/>
      <w:r w:rsidRPr="00AD2D8E">
        <w:rPr>
          <w:color w:val="0E0E0E"/>
          <w:w w:val="105"/>
          <w:lang w:val="de-DE"/>
        </w:rPr>
        <w:t xml:space="preserve"> </w:t>
      </w:r>
      <w:proofErr w:type="spellStart"/>
      <w:r w:rsidRPr="00AD2D8E">
        <w:rPr>
          <w:color w:val="0E0E0E"/>
          <w:w w:val="105"/>
          <w:lang w:val="de-DE"/>
        </w:rPr>
        <w:t>Türkün</w:t>
      </w:r>
      <w:proofErr w:type="spellEnd"/>
      <w:r w:rsidRPr="00AD2D8E">
        <w:rPr>
          <w:color w:val="0E0E0E"/>
          <w:w w:val="105"/>
          <w:lang w:val="de-DE"/>
        </w:rPr>
        <w:t xml:space="preserve">, Dr. Jose Ignacio </w:t>
      </w:r>
      <w:proofErr w:type="spellStart"/>
      <w:r w:rsidRPr="00AD2D8E">
        <w:rPr>
          <w:color w:val="0E0E0E"/>
          <w:w w:val="105"/>
          <w:lang w:val="de-DE"/>
        </w:rPr>
        <w:t>Zalba</w:t>
      </w:r>
      <w:proofErr w:type="spellEnd"/>
      <w:r w:rsidRPr="00AD2D8E">
        <w:rPr>
          <w:color w:val="0E0E0E"/>
          <w:w w:val="105"/>
          <w:lang w:val="de-DE"/>
        </w:rPr>
        <w:t xml:space="preserve"> </w:t>
      </w:r>
      <w:proofErr w:type="spellStart"/>
      <w:r w:rsidRPr="00AD2D8E">
        <w:rPr>
          <w:color w:val="0E0E0E"/>
          <w:w w:val="105"/>
          <w:lang w:val="de-DE"/>
        </w:rPr>
        <w:t>Elizari</w:t>
      </w:r>
      <w:proofErr w:type="spellEnd"/>
      <w:r w:rsidRPr="00AD2D8E">
        <w:rPr>
          <w:color w:val="0E0E0E"/>
          <w:w w:val="105"/>
          <w:lang w:val="de-DE"/>
        </w:rPr>
        <w:t>, Dr. John Nicholson und viele weitere. Zahnärzte können ebenfalls Online-Schulungen und Praxisbesuche ihrer jeweiligen Ansprechpartner</w:t>
      </w:r>
      <w:r w:rsidRPr="00AD2D8E">
        <w:rPr>
          <w:color w:val="0E0E0E"/>
          <w:spacing w:val="25"/>
          <w:w w:val="105"/>
          <w:lang w:val="de-DE"/>
        </w:rPr>
        <w:t xml:space="preserve"> </w:t>
      </w:r>
      <w:r w:rsidRPr="00AD2D8E">
        <w:rPr>
          <w:color w:val="0E0E0E"/>
          <w:w w:val="105"/>
          <w:lang w:val="de-DE"/>
        </w:rPr>
        <w:t>anfordern.</w:t>
      </w:r>
    </w:p>
    <w:p w14:paraId="03BF06D2" w14:textId="77777777" w:rsidR="00B42935" w:rsidRPr="00AD2D8E" w:rsidRDefault="00B42935">
      <w:pPr>
        <w:pStyle w:val="Textkrper"/>
        <w:spacing w:before="2"/>
        <w:rPr>
          <w:sz w:val="34"/>
          <w:lang w:val="de-DE"/>
        </w:rPr>
      </w:pPr>
    </w:p>
    <w:p w14:paraId="52754DED" w14:textId="77777777" w:rsidR="00B42935" w:rsidRPr="00AD2D8E" w:rsidRDefault="00345830">
      <w:pPr>
        <w:pStyle w:val="Textkrper"/>
        <w:spacing w:line="362" w:lineRule="auto"/>
        <w:ind w:left="301" w:right="112" w:firstLine="2"/>
        <w:jc w:val="both"/>
        <w:rPr>
          <w:lang w:val="de-DE"/>
        </w:rPr>
      </w:pPr>
      <w:r w:rsidRPr="00AD2D8E">
        <w:rPr>
          <w:color w:val="0E0E0E"/>
          <w:w w:val="105"/>
          <w:lang w:val="de-DE"/>
        </w:rPr>
        <w:t>GC Europe engagiert sich für die Sicherheit und das Wohlbefinden, sowohl der Dienstleister im Mundgesundheitsbereich als auch der Patienten und stellt zudem die Qualität seiner Produkte sicher. Um Meinungen und Vorschläge der Anwender zu erhalten, enthält Safe4Dentistry.com zusätzlich Tools, mit denen wir die Meinung unserer Kunden zu bestimmten Themen einholen</w:t>
      </w:r>
      <w:r w:rsidRPr="00AD2D8E">
        <w:rPr>
          <w:color w:val="0E0E0E"/>
          <w:spacing w:val="10"/>
          <w:w w:val="105"/>
          <w:lang w:val="de-DE"/>
        </w:rPr>
        <w:t xml:space="preserve"> </w:t>
      </w:r>
      <w:r w:rsidRPr="00AD2D8E">
        <w:rPr>
          <w:color w:val="0E0E0E"/>
          <w:w w:val="105"/>
          <w:lang w:val="de-DE"/>
        </w:rPr>
        <w:t>können.</w:t>
      </w:r>
    </w:p>
    <w:p w14:paraId="793B5A4E" w14:textId="77777777" w:rsidR="00B42935" w:rsidRPr="00AD2D8E" w:rsidRDefault="00B42935">
      <w:pPr>
        <w:pStyle w:val="Textkrper"/>
        <w:spacing w:before="2"/>
        <w:rPr>
          <w:sz w:val="27"/>
          <w:lang w:val="de-DE"/>
        </w:rPr>
      </w:pPr>
    </w:p>
    <w:p w14:paraId="75046109" w14:textId="77777777" w:rsidR="00B42935" w:rsidRPr="00AD2D8E" w:rsidRDefault="00345830">
      <w:pPr>
        <w:pStyle w:val="Textkrper"/>
        <w:spacing w:before="93"/>
        <w:ind w:left="302"/>
        <w:rPr>
          <w:lang w:val="de-DE"/>
        </w:rPr>
      </w:pPr>
      <w:r w:rsidRPr="00AD2D8E">
        <w:rPr>
          <w:color w:val="0E0E0E"/>
          <w:w w:val="110"/>
          <w:lang w:val="de-DE"/>
        </w:rPr>
        <w:t xml:space="preserve">Für weitere Informationen besuchen Sie bitte </w:t>
      </w:r>
      <w:hyperlink r:id="rId4">
        <w:r w:rsidRPr="00AD2D8E">
          <w:rPr>
            <w:color w:val="232323"/>
            <w:w w:val="110"/>
            <w:u w:val="thick" w:color="232323"/>
            <w:lang w:val="de-DE"/>
          </w:rPr>
          <w:t>http://Safe4Dentistry.com/</w:t>
        </w:r>
        <w:r w:rsidRPr="00AD2D8E">
          <w:rPr>
            <w:color w:val="232323"/>
            <w:w w:val="110"/>
            <w:lang w:val="de-DE"/>
          </w:rPr>
          <w:t>.</w:t>
        </w:r>
      </w:hyperlink>
    </w:p>
    <w:p w14:paraId="440B9C77" w14:textId="77777777" w:rsidR="00B42935" w:rsidRPr="00AD2D8E" w:rsidRDefault="00B42935">
      <w:pPr>
        <w:pStyle w:val="Textkrper"/>
        <w:rPr>
          <w:sz w:val="26"/>
          <w:lang w:val="de-DE"/>
        </w:rPr>
      </w:pPr>
    </w:p>
    <w:p w14:paraId="0C7E675C" w14:textId="77777777" w:rsidR="00B42935" w:rsidRPr="00AD2D8E" w:rsidRDefault="00B42935">
      <w:pPr>
        <w:pStyle w:val="Textkrper"/>
        <w:spacing w:before="3"/>
        <w:rPr>
          <w:sz w:val="21"/>
          <w:lang w:val="de-DE"/>
        </w:rPr>
      </w:pPr>
    </w:p>
    <w:p w14:paraId="684FFE00" w14:textId="77777777" w:rsidR="00B42935" w:rsidRPr="002D17DB" w:rsidRDefault="00345830">
      <w:pPr>
        <w:ind w:left="293" w:right="7391" w:firstLine="5"/>
        <w:rPr>
          <w:sz w:val="25"/>
          <w:lang w:val="fr-FR"/>
        </w:rPr>
      </w:pPr>
      <w:r w:rsidRPr="002D17DB">
        <w:rPr>
          <w:color w:val="0E0E0E"/>
          <w:w w:val="105"/>
          <w:sz w:val="25"/>
          <w:lang w:val="fr-FR"/>
        </w:rPr>
        <w:t>GC Europe</w:t>
      </w:r>
      <w:r w:rsidRPr="002D17DB">
        <w:rPr>
          <w:color w:val="0E0E0E"/>
          <w:spacing w:val="54"/>
          <w:w w:val="105"/>
          <w:sz w:val="25"/>
          <w:lang w:val="fr-FR"/>
        </w:rPr>
        <w:t xml:space="preserve"> </w:t>
      </w:r>
      <w:r w:rsidRPr="002D17DB">
        <w:rPr>
          <w:color w:val="0E0E0E"/>
          <w:w w:val="105"/>
          <w:sz w:val="25"/>
          <w:lang w:val="fr-FR"/>
        </w:rPr>
        <w:t>N.V.</w:t>
      </w:r>
    </w:p>
    <w:p w14:paraId="5FD02E13" w14:textId="77777777" w:rsidR="00B42935" w:rsidRPr="002D17DB" w:rsidRDefault="00345830">
      <w:pPr>
        <w:spacing w:before="137"/>
        <w:ind w:left="293" w:right="7391"/>
        <w:rPr>
          <w:rFonts w:ascii="Times New Roman"/>
          <w:sz w:val="26"/>
          <w:lang w:val="fr-FR"/>
        </w:rPr>
      </w:pPr>
      <w:proofErr w:type="spellStart"/>
      <w:r w:rsidRPr="002D17DB">
        <w:rPr>
          <w:color w:val="0E0E0E"/>
          <w:w w:val="115"/>
          <w:sz w:val="25"/>
          <w:lang w:val="fr-FR"/>
        </w:rPr>
        <w:t>Interleuvenlaan</w:t>
      </w:r>
      <w:proofErr w:type="spellEnd"/>
      <w:r w:rsidRPr="002D17DB">
        <w:rPr>
          <w:color w:val="0E0E0E"/>
          <w:w w:val="115"/>
          <w:sz w:val="25"/>
          <w:lang w:val="fr-FR"/>
        </w:rPr>
        <w:t xml:space="preserve"> </w:t>
      </w:r>
      <w:r w:rsidRPr="002D17DB">
        <w:rPr>
          <w:rFonts w:ascii="Times New Roman"/>
          <w:color w:val="0E0E0E"/>
          <w:w w:val="115"/>
          <w:sz w:val="26"/>
          <w:lang w:val="fr-FR"/>
        </w:rPr>
        <w:t>33</w:t>
      </w:r>
    </w:p>
    <w:p w14:paraId="50847434" w14:textId="77777777" w:rsidR="00B42935" w:rsidRPr="00AD2D8E" w:rsidRDefault="00345830">
      <w:pPr>
        <w:spacing w:before="145" w:line="297" w:lineRule="exact"/>
        <w:ind w:left="305"/>
        <w:rPr>
          <w:sz w:val="25"/>
          <w:lang w:val="de-DE"/>
        </w:rPr>
      </w:pPr>
      <w:r w:rsidRPr="00AD2D8E">
        <w:rPr>
          <w:rFonts w:ascii="Times New Roman"/>
          <w:color w:val="0E0E0E"/>
          <w:w w:val="115"/>
          <w:sz w:val="26"/>
          <w:lang w:val="de-DE"/>
        </w:rPr>
        <w:t xml:space="preserve">3001 </w:t>
      </w:r>
      <w:r w:rsidRPr="00AD2D8E">
        <w:rPr>
          <w:color w:val="0E0E0E"/>
          <w:w w:val="115"/>
          <w:sz w:val="25"/>
          <w:lang w:val="de-DE"/>
        </w:rPr>
        <w:t>Leuven</w:t>
      </w:r>
    </w:p>
    <w:p w14:paraId="046ADEEA" w14:textId="77777777" w:rsidR="00B42935" w:rsidRDefault="00345830">
      <w:pPr>
        <w:tabs>
          <w:tab w:val="left" w:pos="1037"/>
        </w:tabs>
        <w:spacing w:before="138"/>
        <w:ind w:left="291"/>
        <w:rPr>
          <w:rFonts w:ascii="Times New Roman"/>
          <w:sz w:val="26"/>
        </w:rPr>
      </w:pPr>
      <w:r w:rsidRPr="00AD2D8E">
        <w:rPr>
          <w:color w:val="0E0E0E"/>
          <w:w w:val="120"/>
          <w:sz w:val="25"/>
          <w:lang w:val="de-DE"/>
        </w:rPr>
        <w:t>Tel</w:t>
      </w:r>
      <w:r w:rsidRPr="00AD2D8E">
        <w:rPr>
          <w:color w:val="0E0E0E"/>
          <w:w w:val="120"/>
          <w:sz w:val="25"/>
          <w:lang w:val="de-DE"/>
        </w:rPr>
        <w:tab/>
      </w:r>
      <w:r w:rsidRPr="00AD2D8E">
        <w:rPr>
          <w:rFonts w:ascii="Times New Roman"/>
          <w:color w:val="0E0E0E"/>
          <w:w w:val="120"/>
          <w:sz w:val="26"/>
          <w:lang w:val="de-DE"/>
        </w:rPr>
        <w:t>+32.16.</w:t>
      </w:r>
      <w:r w:rsidRPr="00AD2D8E">
        <w:rPr>
          <w:rFonts w:ascii="Times New Roman"/>
          <w:color w:val="0E0E0E"/>
          <w:spacing w:val="-19"/>
          <w:w w:val="120"/>
          <w:sz w:val="26"/>
          <w:lang w:val="de-DE"/>
        </w:rPr>
        <w:t xml:space="preserve"> </w:t>
      </w:r>
      <w:r>
        <w:rPr>
          <w:rFonts w:ascii="Times New Roman"/>
          <w:color w:val="0E0E0E"/>
          <w:w w:val="120"/>
          <w:sz w:val="26"/>
        </w:rPr>
        <w:t>74.10.00</w:t>
      </w:r>
    </w:p>
    <w:p w14:paraId="12F65954" w14:textId="77777777" w:rsidR="00B42935" w:rsidRDefault="00345830">
      <w:pPr>
        <w:tabs>
          <w:tab w:val="left" w:pos="1037"/>
        </w:tabs>
        <w:spacing w:before="138"/>
        <w:ind w:left="316"/>
        <w:rPr>
          <w:rFonts w:ascii="Times New Roman"/>
          <w:sz w:val="26"/>
        </w:rPr>
      </w:pPr>
      <w:r>
        <w:rPr>
          <w:rFonts w:ascii="Times New Roman"/>
          <w:color w:val="0E0E0E"/>
          <w:w w:val="120"/>
          <w:sz w:val="26"/>
        </w:rPr>
        <w:t>Fax</w:t>
      </w:r>
      <w:r>
        <w:rPr>
          <w:rFonts w:ascii="Times New Roman"/>
          <w:color w:val="0E0E0E"/>
          <w:w w:val="120"/>
          <w:sz w:val="26"/>
        </w:rPr>
        <w:tab/>
        <w:t>+32.16.74.11.99</w:t>
      </w:r>
    </w:p>
    <w:p w14:paraId="0FCDA656" w14:textId="77777777" w:rsidR="00B42935" w:rsidRDefault="00345830">
      <w:pPr>
        <w:spacing w:before="137"/>
        <w:ind w:left="309"/>
        <w:rPr>
          <w:sz w:val="25"/>
        </w:rPr>
      </w:pPr>
      <w:r>
        <w:rPr>
          <w:color w:val="0E0E0E"/>
          <w:w w:val="120"/>
          <w:sz w:val="25"/>
          <w:u w:val="thick" w:color="0E0E0E"/>
        </w:rPr>
        <w:t>https: //</w:t>
      </w:r>
      <w:proofErr w:type="spellStart"/>
      <w:proofErr w:type="gramStart"/>
      <w:r>
        <w:rPr>
          <w:color w:val="0E0E0E"/>
          <w:w w:val="120"/>
          <w:sz w:val="25"/>
          <w:u w:val="thick" w:color="0E0E0E"/>
        </w:rPr>
        <w:t>europe.gc.denta</w:t>
      </w:r>
      <w:r>
        <w:rPr>
          <w:color w:val="0E0E0E"/>
          <w:w w:val="120"/>
          <w:sz w:val="25"/>
        </w:rPr>
        <w:t>l</w:t>
      </w:r>
      <w:proofErr w:type="spellEnd"/>
      <w:proofErr w:type="gramEnd"/>
    </w:p>
    <w:p w14:paraId="5F72FB45" w14:textId="77777777" w:rsidR="00B42935" w:rsidRDefault="002875D8">
      <w:pPr>
        <w:spacing w:before="155"/>
        <w:ind w:left="305"/>
        <w:rPr>
          <w:sz w:val="25"/>
        </w:rPr>
      </w:pPr>
      <w:hyperlink r:id="rId5">
        <w:r w:rsidR="00345830">
          <w:rPr>
            <w:color w:val="0E0E0E"/>
            <w:spacing w:val="8"/>
            <w:w w:val="117"/>
            <w:sz w:val="24"/>
            <w:u w:val="thick" w:color="0E0E0E"/>
          </w:rPr>
          <w:t>i</w:t>
        </w:r>
        <w:r w:rsidR="00345830">
          <w:rPr>
            <w:color w:val="0E0E0E"/>
            <w:spacing w:val="-1"/>
            <w:w w:val="113"/>
            <w:sz w:val="25"/>
            <w:u w:val="thick" w:color="0E0E0E"/>
          </w:rPr>
          <w:t>nfo</w:t>
        </w:r>
        <w:r w:rsidR="00345830">
          <w:rPr>
            <w:color w:val="0E0E0E"/>
            <w:spacing w:val="17"/>
            <w:w w:val="113"/>
            <w:sz w:val="25"/>
            <w:u w:val="thick" w:color="0E0E0E"/>
          </w:rPr>
          <w:t>.</w:t>
        </w:r>
        <w:r w:rsidR="00345830">
          <w:rPr>
            <w:color w:val="0E0E0E"/>
            <w:spacing w:val="-1"/>
            <w:w w:val="103"/>
            <w:sz w:val="25"/>
            <w:u w:val="thick" w:color="0E0E0E"/>
          </w:rPr>
          <w:t>gce@gc</w:t>
        </w:r>
        <w:r w:rsidR="00345830">
          <w:rPr>
            <w:color w:val="0E0E0E"/>
            <w:w w:val="103"/>
            <w:sz w:val="25"/>
            <w:u w:val="thick" w:color="0E0E0E"/>
          </w:rPr>
          <w:t>.</w:t>
        </w:r>
        <w:r w:rsidR="00345830">
          <w:rPr>
            <w:color w:val="0E0E0E"/>
            <w:spacing w:val="-33"/>
            <w:sz w:val="25"/>
            <w:u w:val="thick" w:color="0E0E0E"/>
          </w:rPr>
          <w:t xml:space="preserve"> </w:t>
        </w:r>
        <w:r w:rsidR="00345830">
          <w:rPr>
            <w:color w:val="232323"/>
            <w:spacing w:val="-1"/>
            <w:w w:val="109"/>
            <w:sz w:val="25"/>
            <w:u w:val="thick" w:color="0E0E0E"/>
          </w:rPr>
          <w:t>dent</w:t>
        </w:r>
        <w:r w:rsidR="00345830">
          <w:rPr>
            <w:color w:val="232323"/>
            <w:spacing w:val="9"/>
            <w:w w:val="109"/>
            <w:sz w:val="25"/>
            <w:u w:val="thick" w:color="0E0E0E"/>
          </w:rPr>
          <w:t>a</w:t>
        </w:r>
        <w:r w:rsidR="00345830">
          <w:rPr>
            <w:color w:val="0E0E0E"/>
            <w:w w:val="49"/>
            <w:sz w:val="25"/>
          </w:rPr>
          <w:t>1</w:t>
        </w:r>
      </w:hyperlink>
    </w:p>
    <w:sectPr w:rsidR="00B42935">
      <w:pgSz w:w="11910" w:h="16840"/>
      <w:pgMar w:top="1060" w:right="9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35"/>
    <w:rsid w:val="0026709A"/>
    <w:rsid w:val="002D17DB"/>
    <w:rsid w:val="002E0F73"/>
    <w:rsid w:val="00345830"/>
    <w:rsid w:val="00AD2D8E"/>
    <w:rsid w:val="00B42935"/>
    <w:rsid w:val="00F93C6E"/>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C039"/>
  <w15:docId w15:val="{52C4F697-0B85-4344-96CC-BF46F6C8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ind w:right="252" w:hanging="5"/>
      <w:jc w:val="right"/>
      <w:outlineLvl w:val="0"/>
    </w:pPr>
    <w:rPr>
      <w:b/>
      <w:bCs/>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3"/>
      <w:szCs w:val="23"/>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2670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709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ce@gc.denta1" TargetMode="External"/><Relationship Id="rId4" Type="http://schemas.openxmlformats.org/officeDocument/2006/relationships/hyperlink" Target="http://Safe4Dentis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Behle, Kerstin</dc:creator>
  <cp:lastModifiedBy>Julia Scherz</cp:lastModifiedBy>
  <cp:revision>4</cp:revision>
  <dcterms:created xsi:type="dcterms:W3CDTF">2020-09-18T10:54:00Z</dcterms:created>
  <dcterms:modified xsi:type="dcterms:W3CDTF">2020-09-18T10:56:00Z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Canon iR-ADV C355  PDF</vt:lpwstr>
  </property>
  <property fmtid="{D5CDD505-2E9C-101B-9397-08002B2CF9AE}" pid="4" name="LastSaved">
    <vt:filetime>2020-09-18T00:00:00Z</vt:filetime>
  </property>
</Properties>
</file>