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Pr="00F002D1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proofErr w:type="spellStart"/>
      <w:r w:rsidRPr="00F002D1">
        <w:rPr>
          <w:rFonts w:ascii="Verdana" w:hAnsi="Verdana"/>
          <w:b/>
          <w:bCs/>
          <w:color w:val="404040"/>
          <w:sz w:val="30"/>
          <w:szCs w:val="30"/>
          <w:u w:val="single"/>
          <w:lang w:val="en"/>
        </w:rPr>
        <w:t>Comunicado</w:t>
      </w:r>
      <w:proofErr w:type="spellEnd"/>
      <w:r w:rsidRPr="00F002D1">
        <w:rPr>
          <w:rFonts w:ascii="Verdana" w:hAnsi="Verdana"/>
          <w:b/>
          <w:bCs/>
          <w:color w:val="404040"/>
          <w:sz w:val="30"/>
          <w:szCs w:val="30"/>
          <w:u w:val="single"/>
          <w:lang w:val="en"/>
        </w:rPr>
        <w:t xml:space="preserve"> de </w:t>
      </w:r>
      <w:proofErr w:type="spellStart"/>
      <w:r w:rsidRPr="00F002D1">
        <w:rPr>
          <w:rFonts w:ascii="Verdana" w:hAnsi="Verdana"/>
          <w:b/>
          <w:bCs/>
          <w:color w:val="404040"/>
          <w:sz w:val="30"/>
          <w:szCs w:val="30"/>
          <w:u w:val="single"/>
          <w:lang w:val="en"/>
        </w:rPr>
        <w:t>prensa</w:t>
      </w:r>
      <w:proofErr w:type="spellEnd"/>
    </w:p>
    <w:p w14:paraId="0C69B5D1" w14:textId="77777777" w:rsidR="00270FCD" w:rsidRPr="00F002D1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</w:p>
    <w:p w14:paraId="6EB9BBCE" w14:textId="444B4CF8" w:rsidR="00B94F46" w:rsidRPr="00F002D1" w:rsidRDefault="00B94F46" w:rsidP="00B94F46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  <w:bookmarkStart w:id="0" w:name="_Hlk42240645"/>
      <w:bookmarkStart w:id="1" w:name="_Hlk42629633"/>
      <w:proofErr w:type="spellStart"/>
      <w:r w:rsidRPr="00F002D1">
        <w:rPr>
          <w:rFonts w:ascii="Verdana" w:eastAsia="Verdana" w:hAnsi="Verdana" w:cs="Verdana"/>
          <w:color w:val="404040"/>
          <w:u w:val="single"/>
          <w:lang w:val="en"/>
        </w:rPr>
        <w:t>Estudio</w:t>
      </w:r>
      <w:proofErr w:type="spellEnd"/>
      <w:r w:rsidRPr="00F002D1">
        <w:rPr>
          <w:rFonts w:ascii="Verdana" w:eastAsia="Verdana" w:hAnsi="Verdana" w:cs="Verdana"/>
          <w:color w:val="404040"/>
          <w:u w:val="single"/>
          <w:lang w:val="en"/>
        </w:rPr>
        <w:t xml:space="preserve"> </w:t>
      </w:r>
      <w:proofErr w:type="spellStart"/>
      <w:r w:rsidRPr="00F002D1">
        <w:rPr>
          <w:rFonts w:ascii="Verdana" w:eastAsia="Verdana" w:hAnsi="Verdana" w:cs="Verdana"/>
          <w:color w:val="404040"/>
          <w:u w:val="single"/>
          <w:lang w:val="en"/>
        </w:rPr>
        <w:t>multicéntrico</w:t>
      </w:r>
      <w:proofErr w:type="spellEnd"/>
      <w:r w:rsidRPr="00F002D1">
        <w:rPr>
          <w:rFonts w:ascii="Verdana" w:eastAsia="Verdana" w:hAnsi="Verdana" w:cs="Verdana"/>
          <w:color w:val="404040"/>
          <w:u w:val="single"/>
          <w:lang w:val="en"/>
        </w:rPr>
        <w:t xml:space="preserve"> de EQUIA Forte:</w:t>
      </w:r>
      <w:bookmarkEnd w:id="0"/>
      <w:r w:rsidRPr="00F002D1">
        <w:rPr>
          <w:rFonts w:ascii="Verdana" w:eastAsia="Verdana" w:hAnsi="Verdana" w:cs="Verdana"/>
          <w:color w:val="404040"/>
          <w:u w:val="single"/>
          <w:lang w:val="en"/>
        </w:rPr>
        <w:t xml:space="preserve"> </w:t>
      </w:r>
      <w:proofErr w:type="spellStart"/>
      <w:r w:rsidRPr="00F002D1">
        <w:rPr>
          <w:rFonts w:ascii="Verdana" w:eastAsia="Verdana" w:hAnsi="Verdana" w:cs="Verdana"/>
          <w:color w:val="404040"/>
          <w:u w:val="single"/>
          <w:lang w:val="en"/>
        </w:rPr>
        <w:t>nuevos</w:t>
      </w:r>
      <w:proofErr w:type="spellEnd"/>
      <w:r w:rsidRPr="00F002D1">
        <w:rPr>
          <w:rFonts w:ascii="Verdana" w:eastAsia="Verdana" w:hAnsi="Verdana" w:cs="Verdana"/>
          <w:color w:val="404040"/>
          <w:u w:val="single"/>
          <w:lang w:val="en"/>
        </w:rPr>
        <w:t xml:space="preserve"> </w:t>
      </w:r>
      <w:proofErr w:type="spellStart"/>
      <w:r w:rsidRPr="00F002D1">
        <w:rPr>
          <w:rFonts w:ascii="Verdana" w:eastAsia="Verdana" w:hAnsi="Verdana" w:cs="Verdana"/>
          <w:color w:val="404040"/>
          <w:u w:val="single"/>
          <w:lang w:val="en"/>
        </w:rPr>
        <w:t>resultados</w:t>
      </w:r>
      <w:proofErr w:type="spellEnd"/>
      <w:r w:rsidRPr="00F002D1">
        <w:rPr>
          <w:rFonts w:ascii="Verdana" w:eastAsia="Verdana" w:hAnsi="Verdana" w:cs="Verdana"/>
          <w:color w:val="404040"/>
          <w:u w:val="single"/>
          <w:lang w:val="en"/>
        </w:rPr>
        <w:t xml:space="preserve"> </w:t>
      </w:r>
      <w:proofErr w:type="spellStart"/>
      <w:r w:rsidRPr="00F002D1">
        <w:rPr>
          <w:rFonts w:ascii="Verdana" w:eastAsia="Verdana" w:hAnsi="Verdana" w:cs="Verdana"/>
          <w:color w:val="404040"/>
          <w:u w:val="single"/>
          <w:lang w:val="en"/>
        </w:rPr>
        <w:t>provisionales</w:t>
      </w:r>
      <w:proofErr w:type="spellEnd"/>
      <w:r w:rsidRPr="00F002D1">
        <w:rPr>
          <w:rFonts w:ascii="Verdana" w:eastAsia="Verdana" w:hAnsi="Verdana" w:cs="Verdana"/>
          <w:color w:val="404040"/>
          <w:u w:val="single"/>
          <w:lang w:val="en"/>
        </w:rPr>
        <w:t xml:space="preserve"> </w:t>
      </w:r>
    </w:p>
    <w:p w14:paraId="4CB4B907" w14:textId="77777777" w:rsidR="00270FCD" w:rsidRPr="00F002D1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</w:p>
    <w:p w14:paraId="7105E9E8" w14:textId="1F78A6D4" w:rsidR="00B94F46" w:rsidRPr="00F002D1" w:rsidRDefault="006D711A" w:rsidP="00B94F46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 xml:space="preserve">El </w:t>
      </w:r>
      <w:proofErr w:type="spellStart"/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>prometedor</w:t>
      </w:r>
      <w:proofErr w:type="spellEnd"/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>rendimiento</w:t>
      </w:r>
      <w:proofErr w:type="spellEnd"/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 xml:space="preserve"> de EQUIA Forte</w:t>
      </w:r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vertAlign w:val="superscript"/>
          <w:lang w:val="en"/>
        </w:rPr>
        <w:t>®</w:t>
      </w:r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>, un</w:t>
      </w:r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</w:t>
      </w:r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 xml:space="preserve">nuevo </w:t>
      </w:r>
      <w:proofErr w:type="spellStart"/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>sistema</w:t>
      </w:r>
      <w:proofErr w:type="spellEnd"/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>restauración</w:t>
      </w:r>
      <w:proofErr w:type="spellEnd"/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 xml:space="preserve"> con </w:t>
      </w:r>
      <w:proofErr w:type="spellStart"/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>tecnología</w:t>
      </w:r>
      <w:proofErr w:type="spellEnd"/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>vidrio</w:t>
      </w:r>
      <w:proofErr w:type="spellEnd"/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>híbrido</w:t>
      </w:r>
      <w:proofErr w:type="spellEnd"/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lang w:val="en"/>
        </w:rPr>
        <w:t xml:space="preserve"> de GC. </w:t>
      </w:r>
    </w:p>
    <w:p w14:paraId="7861B3F1" w14:textId="77777777" w:rsidR="004C48D0" w:rsidRPr="00F002D1" w:rsidRDefault="004C48D0">
      <w:pPr>
        <w:pStyle w:val="NoSpacing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</w:rPr>
      </w:pPr>
    </w:p>
    <w:p w14:paraId="485A263F" w14:textId="63B24514" w:rsidR="00B94F46" w:rsidRPr="00F002D1" w:rsidRDefault="00B94F46" w:rsidP="00B94F46">
      <w:pPr>
        <w:suppressAutoHyphens/>
        <w:spacing w:after="160"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Tras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el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éxito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del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sistema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restauración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EQUIA,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presentado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en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2007, GC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dio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el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siguiente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gran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paso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con EQUIA Forte. Un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estudio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clínico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multicéntri</w:t>
      </w:r>
      <w:r w:rsidR="00712F16"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c</w:t>
      </w:r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o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de dos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años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confirma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que EQUIA Forte</w:t>
      </w:r>
      <w:r w:rsidRPr="00F002D1">
        <w:rPr>
          <w:rFonts w:ascii="Verdana" w:hAnsi="Verdana"/>
          <w:b/>
          <w:bCs/>
          <w:color w:val="404040"/>
          <w:sz w:val="28"/>
          <w:szCs w:val="28"/>
          <w:u w:color="404040"/>
          <w:vertAlign w:val="superscript"/>
          <w:lang w:val="en"/>
        </w:rPr>
        <w:t>®</w:t>
      </w:r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es un material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adecuado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para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restauraciones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clase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 </w:t>
      </w:r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II de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tamaño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 xml:space="preserve"> medio a </w:t>
      </w:r>
      <w:proofErr w:type="spellStart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grande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lang w:val="en"/>
        </w:rPr>
        <w:t>.</w:t>
      </w:r>
    </w:p>
    <w:p w14:paraId="604207B5" w14:textId="77777777" w:rsidR="006D711A" w:rsidRPr="00F002D1" w:rsidRDefault="006D711A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0C805344" w14:textId="09C421A4" w:rsidR="00B94F46" w:rsidRPr="00F002D1" w:rsidRDefault="00681220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Los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estudios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clínicos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son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esenciales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para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evaluar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el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rendimiento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los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materiales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dentales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, por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eso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se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inició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un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estudio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clínico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cinco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años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duración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2015, el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mismo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año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el que se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presentó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EQUIA Forte (material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restauración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vidrio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híbrido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). Este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ensayo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a largo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plazo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comparó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EQUIA Forte con un composite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nanohíbrido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(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Tetric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EvoCeram</w:t>
      </w:r>
      <w:proofErr w:type="spellEnd"/>
      <w:r w:rsidRPr="00F002D1">
        <w:rPr>
          <w:rFonts w:ascii="Verdana" w:hAnsi="Verdana"/>
          <w:b/>
          <w:bCs/>
          <w:color w:val="404040"/>
          <w:sz w:val="22"/>
          <w:szCs w:val="22"/>
          <w:u w:color="404040"/>
          <w:vertAlign w:val="superscript"/>
          <w:lang w:val="en"/>
        </w:rPr>
        <w:t>®</w:t>
      </w:r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,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Ivoclar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Vivadent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)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restauraciones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clase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II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tamaño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medio 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grande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. </w:t>
      </w:r>
    </w:p>
    <w:p w14:paraId="25A7FD16" w14:textId="77777777" w:rsidR="00E973D0" w:rsidRPr="00F002D1" w:rsidRDefault="00E973D0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52C07B55" w14:textId="60991541" w:rsidR="00B94F46" w:rsidRPr="00F002D1" w:rsidRDefault="00B94F46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"/>
        </w:rPr>
      </w:pPr>
      <w:r w:rsidRPr="00F002D1">
        <w:rPr>
          <w:rFonts w:ascii="Verdana" w:hAnsi="Verdana"/>
          <w:color w:val="404040"/>
          <w:sz w:val="22"/>
          <w:szCs w:val="22"/>
          <w:u w:color="404040"/>
          <w:lang w:val="es-ES"/>
        </w:rPr>
        <w:t xml:space="preserve">Los resultados provisionales tras dos años mostraron un rendimiento clínico similar para ambos materiales, confirmando que EQUIA Forte es adecuado; además, EQUIA Forte demostró un excelente rendimiento como material de restauración a largo plazo. Por otra parte, al cabo de los dos años, no se observó prácticamente ninguna diferencia entre los dos materiales en cuanto a propiedades estéticas, funcionales o biológicas probadas. Publicado el 29 de mayo de 2020 en el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s-ES"/>
        </w:rPr>
        <w:t>Journal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s-ES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s-ES"/>
        </w:rPr>
        <w:t>of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s-ES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s-ES"/>
        </w:rPr>
        <w:lastRenderedPageBreak/>
        <w:t>Adhesive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s-ES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s-ES"/>
        </w:rPr>
        <w:t>Dentistry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s-ES"/>
        </w:rPr>
        <w:t xml:space="preserve">, el estudio fue dirigido por la Dra. </w:t>
      </w:r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Ivana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Mileti´c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,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profesora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del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departamento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Endodoncia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y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Odontología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Restauradora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la Universidad de Zagreb (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Croacia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), que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trabajó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con un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equipo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reputados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profesores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procedentes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cuatro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escuelas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odontología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europeas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: Anja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Baraba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(Zagreb,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Croacia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), Matteo Basso y Maria Giulia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Pulcini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(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Milán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, Italia),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Dejan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Marković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y Tamara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Perić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(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Belgrado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, Serbia),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Cigdem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Atalayin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Ozkaya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y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Lezize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Sebnem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Turkun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(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Esmirna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,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Turquía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). </w:t>
      </w:r>
      <w:r w:rsidRPr="00F002D1">
        <w:rPr>
          <w:rFonts w:ascii="Verdana" w:hAnsi="Verdana"/>
          <w:color w:val="404040"/>
          <w:sz w:val="22"/>
          <w:szCs w:val="22"/>
          <w:u w:color="404040"/>
          <w:lang w:val="es-ES"/>
        </w:rPr>
        <w:t>El estudio está registrado en ClinicalTrials.gov (n.º: NCT02717520).</w:t>
      </w:r>
    </w:p>
    <w:p w14:paraId="7B8268E9" w14:textId="77777777" w:rsidR="00681220" w:rsidRPr="00F002D1" w:rsidRDefault="00681220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"/>
        </w:rPr>
      </w:pPr>
    </w:p>
    <w:p w14:paraId="6CACC9CD" w14:textId="3721130A" w:rsidR="00E65AB7" w:rsidRPr="00F002D1" w:rsidRDefault="00B94F46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este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estudio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clínico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multicéntrico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a largo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plazo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,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boca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dividida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(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relación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asignación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equitativa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),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aleatorio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y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prospectivo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participaron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180 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pacientes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(con una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edad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media de 34,6 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años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), que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necesitaban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dos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restauraciones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dos superficies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clase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 II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la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región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molar de la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misma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mandíbula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. Se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tomaron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impresiones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antes y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después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la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preparación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la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cavidad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,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así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como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después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la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restauración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final.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Estas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impresiones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se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escanearon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posteriormente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para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realizar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una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evaluación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adicional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del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desgaste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el 3.</w:t>
      </w:r>
      <w:r w:rsidRPr="00F002D1">
        <w:rPr>
          <w:rFonts w:ascii="Verdana" w:hAnsi="Verdana"/>
          <w:color w:val="404040"/>
          <w:sz w:val="22"/>
          <w:szCs w:val="22"/>
          <w:u w:color="404040"/>
          <w:vertAlign w:val="superscript"/>
          <w:lang w:val="en"/>
        </w:rPr>
        <w:t>er</w:t>
      </w:r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y 5.</w:t>
      </w:r>
      <w:r w:rsidRPr="00F002D1">
        <w:rPr>
          <w:rFonts w:ascii="Verdana" w:hAnsi="Verdana"/>
          <w:color w:val="404040"/>
          <w:sz w:val="22"/>
          <w:szCs w:val="22"/>
          <w:u w:color="404040"/>
          <w:vertAlign w:val="superscript"/>
          <w:lang w:val="en"/>
        </w:rPr>
        <w:t>o</w:t>
      </w:r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año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estudio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y se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llevó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cabo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una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evaluación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clínica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siguiendo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los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criterios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IED-2. </w:t>
      </w:r>
    </w:p>
    <w:p w14:paraId="27F73D8D" w14:textId="77777777" w:rsidR="00E65AB7" w:rsidRPr="00F002D1" w:rsidRDefault="00E65AB7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3D484305" w14:textId="271614B4" w:rsidR="00B94F46" w:rsidRPr="00F002D1" w:rsidRDefault="00B94F46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Los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índices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supervivencia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estimados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la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revisión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los dos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años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fueron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del 93,6 % (EQUIA Forte) y del 94,5 % (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Tetric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EvoCeram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), sin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diferencias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significativas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entre los dos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materiales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.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Estos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excelentes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resultados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demuestran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la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eficacia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clínica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los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vidrios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híbridos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(EQUIA Forte)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como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materiales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restauración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a largo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plazo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. </w:t>
      </w:r>
    </w:p>
    <w:p w14:paraId="063A0828" w14:textId="3EB51A0E" w:rsidR="000666FF" w:rsidRPr="00F002D1" w:rsidRDefault="000666FF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44B56094" w14:textId="4445BECF" w:rsidR="000666FF" w:rsidRPr="00F002D1" w:rsidRDefault="0031156E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Los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excelentes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resultados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provisionales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ofrecen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una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perspectiva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positiva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sobre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el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rendimiento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EQUIA Forte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después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cinco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años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.</w:t>
      </w:r>
    </w:p>
    <w:bookmarkEnd w:id="1"/>
    <w:p w14:paraId="02B03A54" w14:textId="3DBA571F" w:rsidR="00DA04CE" w:rsidRPr="00F002D1" w:rsidRDefault="00DA04CE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</w:p>
    <w:p w14:paraId="30AD195B" w14:textId="6467E393" w:rsidR="00DA04CE" w:rsidRPr="00F002D1" w:rsidRDefault="00DA04CE" w:rsidP="00B94F46">
      <w:pPr>
        <w:spacing w:line="360" w:lineRule="auto"/>
        <w:rPr>
          <w:rFonts w:ascii="Verdana" w:hAnsi="Verdana"/>
          <w:color w:val="404040"/>
          <w:sz w:val="22"/>
          <w:szCs w:val="22"/>
          <w:u w:color="404040"/>
        </w:rPr>
      </w:pPr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Para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obtener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más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información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sobre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el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estudio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,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visite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: </w:t>
      </w:r>
      <w:hyperlink r:id="rId7" w:history="1">
        <w:r w:rsidRPr="00F002D1">
          <w:rPr>
            <w:rFonts w:ascii="Verdana" w:hAnsi="Verdana"/>
            <w:color w:val="404040"/>
            <w:sz w:val="22"/>
            <w:szCs w:val="22"/>
            <w:u w:color="404040"/>
            <w:lang w:val="en"/>
          </w:rPr>
          <w:t>https://jad.quintessenz.de/index.php?doc=abstract&amp;abstractID=44547</w:t>
        </w:r>
      </w:hyperlink>
    </w:p>
    <w:p w14:paraId="2EC5F3BB" w14:textId="6E5F5BBC" w:rsidR="00DA04CE" w:rsidRPr="00F002D1" w:rsidRDefault="00DA04CE">
      <w:pPr>
        <w:spacing w:line="360" w:lineRule="auto"/>
        <w:jc w:val="both"/>
        <w:rPr>
          <w:rFonts w:ascii="Verdana" w:eastAsia="Verdana" w:hAnsi="Verdana" w:cs="Verdana"/>
          <w:color w:val="464646"/>
          <w:sz w:val="22"/>
          <w:szCs w:val="22"/>
          <w:u w:color="464646"/>
        </w:rPr>
      </w:pPr>
    </w:p>
    <w:p w14:paraId="0D060372" w14:textId="77777777" w:rsidR="00F002D1" w:rsidRPr="00F002D1" w:rsidRDefault="00F002D1" w:rsidP="00F002D1">
      <w:pPr>
        <w:spacing w:line="360" w:lineRule="auto"/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</w:pPr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lastRenderedPageBreak/>
        <w:t xml:space="preserve">GC IBÉRICA Dental </w:t>
      </w:r>
      <w:proofErr w:type="spellStart"/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>Products</w:t>
      </w:r>
      <w:proofErr w:type="spellEnd"/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>, S.L.</w:t>
      </w:r>
    </w:p>
    <w:p w14:paraId="3ABEEA88" w14:textId="77777777" w:rsidR="00F002D1" w:rsidRPr="00F002D1" w:rsidRDefault="00F002D1" w:rsidP="00F002D1">
      <w:pPr>
        <w:spacing w:line="360" w:lineRule="auto"/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</w:pPr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 xml:space="preserve">Edificio </w:t>
      </w:r>
      <w:proofErr w:type="spellStart"/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>Codesa</w:t>
      </w:r>
      <w:proofErr w:type="spellEnd"/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 xml:space="preserve"> 2 Playa de las </w:t>
      </w:r>
      <w:proofErr w:type="spellStart"/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>Americas</w:t>
      </w:r>
      <w:proofErr w:type="spellEnd"/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 xml:space="preserve">, 2, 1°, </w:t>
      </w:r>
      <w:proofErr w:type="spellStart"/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>Of</w:t>
      </w:r>
      <w:proofErr w:type="spellEnd"/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>. 4</w:t>
      </w:r>
    </w:p>
    <w:p w14:paraId="49382D23" w14:textId="77777777" w:rsidR="00F002D1" w:rsidRPr="00F002D1" w:rsidRDefault="00F002D1" w:rsidP="00F002D1">
      <w:pPr>
        <w:spacing w:line="360" w:lineRule="auto"/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</w:pPr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 xml:space="preserve">28290 </w:t>
      </w:r>
      <w:proofErr w:type="gramStart"/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>Las</w:t>
      </w:r>
      <w:proofErr w:type="gramEnd"/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 xml:space="preserve"> Rozas, Madrid</w:t>
      </w:r>
    </w:p>
    <w:p w14:paraId="0B28675E" w14:textId="77777777" w:rsidR="00F002D1" w:rsidRPr="00F002D1" w:rsidRDefault="00F002D1" w:rsidP="00F002D1">
      <w:pPr>
        <w:spacing w:line="360" w:lineRule="auto"/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</w:pPr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>España</w:t>
      </w:r>
    </w:p>
    <w:p w14:paraId="5DF54A3C" w14:textId="77777777" w:rsidR="00F002D1" w:rsidRPr="00F002D1" w:rsidRDefault="00F002D1" w:rsidP="00F002D1">
      <w:pPr>
        <w:spacing w:line="360" w:lineRule="auto"/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</w:pPr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>+34 916 36 43 40</w:t>
      </w:r>
    </w:p>
    <w:p w14:paraId="262DC7CD" w14:textId="77777777" w:rsidR="00F002D1" w:rsidRPr="00F002D1" w:rsidRDefault="00F002D1" w:rsidP="00F002D1">
      <w:pPr>
        <w:spacing w:line="360" w:lineRule="auto"/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</w:pPr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>+34 916 36 43 41</w:t>
      </w:r>
    </w:p>
    <w:p w14:paraId="55D5C897" w14:textId="4A08C928" w:rsidR="00093A56" w:rsidRPr="00F002D1" w:rsidRDefault="00F002D1" w:rsidP="00F002D1">
      <w:pPr>
        <w:spacing w:line="360" w:lineRule="auto"/>
        <w:rPr>
          <w:rStyle w:val="Hyperlink"/>
          <w:rFonts w:ascii="Verdana" w:hAnsi="Verdana"/>
          <w:color w:val="464646"/>
          <w:kern w:val="28"/>
          <w:sz w:val="22"/>
          <w:szCs w:val="22"/>
          <w:u w:val="none" w:color="464646"/>
          <w:lang w:val="es-ES"/>
        </w:rPr>
      </w:pPr>
      <w:proofErr w:type="spellStart"/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>comercial.spain@gc.dental</w:t>
      </w:r>
      <w:proofErr w:type="spellEnd"/>
      <w:r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br/>
      </w:r>
      <w:bookmarkStart w:id="2" w:name="_GoBack"/>
      <w:bookmarkEnd w:id="2"/>
      <w:r w:rsidRPr="00F002D1">
        <w:rPr>
          <w:rFonts w:ascii="Verdana" w:hAnsi="Verdana"/>
          <w:color w:val="464646"/>
          <w:kern w:val="28"/>
          <w:sz w:val="22"/>
          <w:szCs w:val="22"/>
          <w:u w:color="464646"/>
          <w:lang w:val="es-ES"/>
        </w:rPr>
        <w:t>spain.gceurope.com</w:t>
      </w:r>
    </w:p>
    <w:p w14:paraId="62B86DAC" w14:textId="41C989FE" w:rsidR="00093A56" w:rsidRPr="00F002D1" w:rsidRDefault="00093A56" w:rsidP="003C0995">
      <w:pPr>
        <w:pStyle w:val="NormalWeb"/>
        <w:rPr>
          <w:rStyle w:val="Hyperlink"/>
          <w:rFonts w:ascii="Verdana" w:hAnsi="Verdana"/>
          <w:spacing w:val="5"/>
          <w:kern w:val="28"/>
          <w:sz w:val="22"/>
          <w:szCs w:val="22"/>
          <w:lang w:val="es-ES"/>
        </w:rPr>
      </w:pPr>
    </w:p>
    <w:p w14:paraId="6BBFB883" w14:textId="7EA8D815" w:rsidR="00864670" w:rsidRDefault="00864670" w:rsidP="003C0995">
      <w:pPr>
        <w:pStyle w:val="NormalWeb"/>
        <w:rPr>
          <w:rStyle w:val="Hyperlink"/>
          <w:rFonts w:ascii="Verdana" w:hAnsi="Verdana"/>
          <w:spacing w:val="5"/>
          <w:kern w:val="28"/>
          <w:sz w:val="22"/>
          <w:szCs w:val="22"/>
        </w:rPr>
      </w:pPr>
      <w:r>
        <w:rPr>
          <w:noProof/>
          <w:lang w:val="en"/>
        </w:rPr>
        <w:drawing>
          <wp:inline distT="0" distB="0" distL="0" distR="0" wp14:anchorId="2AFEABE7" wp14:editId="1F442751">
            <wp:extent cx="2927350" cy="1503888"/>
            <wp:effectExtent l="0" t="0" r="6350" b="1270"/>
            <wp:docPr id="2" name="Picture 2" descr="EQUIA Forte Family for US Pack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QUIA Forte Family for US Packsho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674" cy="150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E47C0" w14:textId="1942C2BB" w:rsidR="00093A56" w:rsidRPr="00F002D1" w:rsidRDefault="00864670" w:rsidP="00864670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Gama de </w:t>
      </w:r>
      <w:proofErr w:type="spellStart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>productos</w:t>
      </w:r>
      <w:proofErr w:type="spellEnd"/>
      <w:r w:rsidRPr="00F002D1">
        <w:rPr>
          <w:rFonts w:ascii="Verdana" w:hAnsi="Verdana"/>
          <w:color w:val="404040"/>
          <w:sz w:val="22"/>
          <w:szCs w:val="22"/>
          <w:u w:color="404040"/>
          <w:lang w:val="en"/>
        </w:rPr>
        <w:t xml:space="preserve"> EQUIA Forte de GC </w:t>
      </w:r>
    </w:p>
    <w:sectPr w:rsidR="00093A56" w:rsidRPr="00F002D1">
      <w:headerReference w:type="default" r:id="rId9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E2587" w14:textId="77777777" w:rsidR="00336223" w:rsidRDefault="00336223">
      <w:r>
        <w:separator/>
      </w:r>
    </w:p>
  </w:endnote>
  <w:endnote w:type="continuationSeparator" w:id="0">
    <w:p w14:paraId="593BA266" w14:textId="77777777" w:rsidR="00336223" w:rsidRDefault="0033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1362F" w14:textId="77777777" w:rsidR="00336223" w:rsidRDefault="00336223">
      <w:r>
        <w:separator/>
      </w:r>
    </w:p>
  </w:footnote>
  <w:footnote w:type="continuationSeparator" w:id="0">
    <w:p w14:paraId="5FA41570" w14:textId="77777777" w:rsidR="00336223" w:rsidRDefault="0033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  <w:lang w:val="en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22268"/>
    <w:multiLevelType w:val="hybridMultilevel"/>
    <w:tmpl w:val="68DC3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666FF"/>
    <w:rsid w:val="000750E8"/>
    <w:rsid w:val="00093A56"/>
    <w:rsid w:val="00106786"/>
    <w:rsid w:val="00114CF7"/>
    <w:rsid w:val="001225C5"/>
    <w:rsid w:val="001D2922"/>
    <w:rsid w:val="001D6454"/>
    <w:rsid w:val="001F34C0"/>
    <w:rsid w:val="00204E47"/>
    <w:rsid w:val="00247359"/>
    <w:rsid w:val="00270FCD"/>
    <w:rsid w:val="002724D8"/>
    <w:rsid w:val="00291EEA"/>
    <w:rsid w:val="002F5904"/>
    <w:rsid w:val="003042DF"/>
    <w:rsid w:val="0031156E"/>
    <w:rsid w:val="00321DE6"/>
    <w:rsid w:val="00336223"/>
    <w:rsid w:val="003443AD"/>
    <w:rsid w:val="003763C3"/>
    <w:rsid w:val="0038041F"/>
    <w:rsid w:val="003B4C34"/>
    <w:rsid w:val="003C0995"/>
    <w:rsid w:val="003F1B6F"/>
    <w:rsid w:val="0047657D"/>
    <w:rsid w:val="004C48D0"/>
    <w:rsid w:val="004D3B6C"/>
    <w:rsid w:val="0052480D"/>
    <w:rsid w:val="005572E6"/>
    <w:rsid w:val="00585B4C"/>
    <w:rsid w:val="005D1861"/>
    <w:rsid w:val="005E7894"/>
    <w:rsid w:val="00634E63"/>
    <w:rsid w:val="006710E6"/>
    <w:rsid w:val="00681220"/>
    <w:rsid w:val="006C68FF"/>
    <w:rsid w:val="006D711A"/>
    <w:rsid w:val="006F3A80"/>
    <w:rsid w:val="00712F16"/>
    <w:rsid w:val="007A2247"/>
    <w:rsid w:val="007F6F01"/>
    <w:rsid w:val="00821D97"/>
    <w:rsid w:val="00864670"/>
    <w:rsid w:val="008F7868"/>
    <w:rsid w:val="00925701"/>
    <w:rsid w:val="0093688D"/>
    <w:rsid w:val="00944072"/>
    <w:rsid w:val="00981F33"/>
    <w:rsid w:val="00994E4D"/>
    <w:rsid w:val="009C1D99"/>
    <w:rsid w:val="00A304BF"/>
    <w:rsid w:val="00A7746D"/>
    <w:rsid w:val="00AC77C3"/>
    <w:rsid w:val="00AE390E"/>
    <w:rsid w:val="00B42D45"/>
    <w:rsid w:val="00B94F46"/>
    <w:rsid w:val="00C01FE6"/>
    <w:rsid w:val="00C55765"/>
    <w:rsid w:val="00CD585F"/>
    <w:rsid w:val="00CF7A47"/>
    <w:rsid w:val="00D21359"/>
    <w:rsid w:val="00D85CEE"/>
    <w:rsid w:val="00DA04CE"/>
    <w:rsid w:val="00DC1238"/>
    <w:rsid w:val="00E65AB7"/>
    <w:rsid w:val="00E973D0"/>
    <w:rsid w:val="00EA453A"/>
    <w:rsid w:val="00ED1200"/>
    <w:rsid w:val="00F002D1"/>
    <w:rsid w:val="00F97111"/>
    <w:rsid w:val="00FB64D5"/>
    <w:rsid w:val="00FC0EBD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5C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6F3A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C557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EastAsia" w:hAnsiTheme="minorHAnsi" w:cs="Mangal"/>
      <w:color w:val="auto"/>
      <w:sz w:val="22"/>
      <w:szCs w:val="20"/>
      <w:bdr w:val="none" w:sz="0" w:space="0" w:color="auto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70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38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jad.quintessenz.de/index.php?doc=abstract&amp;amp;amp;abstractID=445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Taeleman, Liesbeth</cp:lastModifiedBy>
  <cp:revision>3</cp:revision>
  <dcterms:created xsi:type="dcterms:W3CDTF">2020-11-24T08:33:00Z</dcterms:created>
  <dcterms:modified xsi:type="dcterms:W3CDTF">2020-11-24T12:03:00Z</dcterms:modified>
</cp:coreProperties>
</file>