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12E1" w14:textId="77777777" w:rsidR="004A6327" w:rsidRPr="002D7F1B" w:rsidRDefault="00ED0FF5" w:rsidP="00714063">
      <w:pPr>
        <w:spacing w:line="360" w:lineRule="auto"/>
        <w:ind w:right="497"/>
        <w:jc w:val="right"/>
        <w:rPr>
          <w:rFonts w:ascii="Verdana" w:hAnsi="Verdana"/>
          <w:lang w:val="fr-FR"/>
        </w:rPr>
      </w:pPr>
      <w:r w:rsidRPr="002D7F1B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>Press release</w:t>
      </w:r>
    </w:p>
    <w:p w14:paraId="6EE62611" w14:textId="77777777" w:rsidR="004A6327" w:rsidRPr="002D7F1B" w:rsidRDefault="004A6327" w:rsidP="00714063">
      <w:pPr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fr-FR"/>
        </w:rPr>
      </w:pPr>
    </w:p>
    <w:p w14:paraId="5EE4D036" w14:textId="77777777" w:rsidR="006A4BDF" w:rsidRPr="002D7F1B" w:rsidRDefault="006A4BDF" w:rsidP="006A4BDF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u w:val="single"/>
          <w:lang w:val="fr-FR"/>
        </w:rPr>
      </w:pPr>
    </w:p>
    <w:p w14:paraId="7A073551" w14:textId="53934D0A" w:rsidR="006A4BDF" w:rsidRPr="006A4BDF" w:rsidRDefault="008B06F9" w:rsidP="006A4BDF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u w:val="single"/>
          <w:lang w:val="fr-FR"/>
        </w:rPr>
      </w:pPr>
      <w:r>
        <w:rPr>
          <w:rFonts w:ascii="Verdana" w:eastAsia="Calibri" w:hAnsi="Verdana" w:cs="Calibri"/>
          <w:sz w:val="22"/>
          <w:szCs w:val="22"/>
          <w:u w:val="single"/>
          <w:lang w:val="fr-FR"/>
        </w:rPr>
        <w:t>Point</w:t>
      </w:r>
      <w:r w:rsidR="006A4BDF" w:rsidRPr="006A4BDF">
        <w:rPr>
          <w:rFonts w:ascii="Verdana" w:eastAsia="Calibri" w:hAnsi="Verdana" w:cs="Calibri"/>
          <w:sz w:val="22"/>
          <w:szCs w:val="22"/>
          <w:u w:val="single"/>
          <w:lang w:val="fr-FR"/>
        </w:rPr>
        <w:t xml:space="preserve"> recherche </w:t>
      </w:r>
      <w:r>
        <w:rPr>
          <w:rFonts w:ascii="Verdana" w:eastAsia="Calibri" w:hAnsi="Verdana" w:cs="Calibri"/>
          <w:sz w:val="22"/>
          <w:szCs w:val="22"/>
          <w:u w:val="single"/>
          <w:lang w:val="fr-FR"/>
        </w:rPr>
        <w:t xml:space="preserve">sur le système </w:t>
      </w:r>
      <w:r w:rsidR="006A4BDF" w:rsidRPr="006A4BDF">
        <w:rPr>
          <w:rFonts w:ascii="Verdana" w:eastAsia="Calibri" w:hAnsi="Verdana" w:cs="Calibri"/>
          <w:sz w:val="22"/>
          <w:szCs w:val="22"/>
          <w:u w:val="single"/>
          <w:lang w:val="fr-FR"/>
        </w:rPr>
        <w:t xml:space="preserve">EQUIA </w:t>
      </w:r>
    </w:p>
    <w:p w14:paraId="01955BA4" w14:textId="77777777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fr-FR"/>
        </w:rPr>
      </w:pPr>
    </w:p>
    <w:p w14:paraId="59E955C1" w14:textId="77777777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b/>
          <w:bCs/>
          <w:sz w:val="28"/>
          <w:szCs w:val="28"/>
          <w:lang w:val="fr-FR"/>
        </w:rPr>
      </w:pPr>
      <w:r w:rsidRPr="006A4BDF">
        <w:rPr>
          <w:rFonts w:ascii="Verdana" w:eastAsia="Calibri" w:hAnsi="Verdana" w:cs="Calibri"/>
          <w:b/>
          <w:bCs/>
          <w:sz w:val="28"/>
          <w:szCs w:val="28"/>
          <w:lang w:val="fr-FR"/>
        </w:rPr>
        <w:t>Système de restauration EQUIA</w:t>
      </w:r>
      <w:r w:rsidRPr="006A4BDF">
        <w:rPr>
          <w:rFonts w:ascii="Verdana" w:eastAsia="Calibri" w:hAnsi="Verdana" w:cs="Calibri"/>
          <w:b/>
          <w:bCs/>
          <w:sz w:val="28"/>
          <w:szCs w:val="28"/>
          <w:vertAlign w:val="superscript"/>
          <w:lang w:val="fr-FR"/>
        </w:rPr>
        <w:t>®</w:t>
      </w:r>
      <w:r w:rsidRPr="006A4BDF">
        <w:rPr>
          <w:rFonts w:ascii="Verdana" w:eastAsia="Calibri" w:hAnsi="Verdana" w:cs="Calibri"/>
          <w:b/>
          <w:bCs/>
          <w:sz w:val="28"/>
          <w:szCs w:val="28"/>
          <w:lang w:val="fr-FR"/>
        </w:rPr>
        <w:t xml:space="preserve"> : des performances exceptionnelles confirmées par plusieurs essais cliniques à long terme  </w:t>
      </w:r>
    </w:p>
    <w:p w14:paraId="678BA946" w14:textId="77777777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fr-FR"/>
        </w:rPr>
      </w:pPr>
    </w:p>
    <w:p w14:paraId="73E9D7C4" w14:textId="2668F2A5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fr-FR"/>
        </w:rPr>
      </w:pP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Lancé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en 2007, le système de restauration EQUIA s'est rapidement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avéré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être une nouvelle norme en matière de technologie de restauration, offrant des restaurations postérieures en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bloc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suffisamment esthétique</w:t>
      </w:r>
      <w:r w:rsidR="008B06F9">
        <w:rPr>
          <w:rFonts w:ascii="Verdana" w:eastAsia="Calibri" w:hAnsi="Verdana" w:cs="Calibri"/>
          <w:b/>
          <w:bCs/>
          <w:sz w:val="22"/>
          <w:szCs w:val="22"/>
          <w:lang w:val="fr-FR"/>
        </w:rPr>
        <w:t>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et une option avancée pour surmonter les limites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de l’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amalgame,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des restaurations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composite</w:t>
      </w:r>
      <w:r w:rsidR="002D7F1B">
        <w:rPr>
          <w:rFonts w:ascii="Verdana" w:eastAsia="Calibri" w:hAnsi="Verdana" w:cs="Calibri"/>
          <w:b/>
          <w:bCs/>
          <w:sz w:val="22"/>
          <w:szCs w:val="22"/>
          <w:lang w:val="fr-FR"/>
        </w:rPr>
        <w:t>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et </w:t>
      </w:r>
      <w:r w:rsidR="002D7F1B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des 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>verre</w:t>
      </w:r>
      <w:r w:rsidR="002D7F1B">
        <w:rPr>
          <w:rFonts w:ascii="Verdana" w:eastAsia="Calibri" w:hAnsi="Verdana" w:cs="Calibri"/>
          <w:b/>
          <w:bCs/>
          <w:sz w:val="22"/>
          <w:szCs w:val="22"/>
          <w:lang w:val="fr-FR"/>
        </w:rPr>
        <w:t>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ionomère</w:t>
      </w:r>
      <w:r w:rsidR="002D7F1B">
        <w:rPr>
          <w:rFonts w:ascii="Verdana" w:eastAsia="Calibri" w:hAnsi="Verdana" w:cs="Calibri"/>
          <w:b/>
          <w:bCs/>
          <w:sz w:val="22"/>
          <w:szCs w:val="22"/>
          <w:lang w:val="fr-FR"/>
        </w:rPr>
        <w:t>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conventionnel</w:t>
      </w:r>
      <w:r w:rsidR="002D7F1B">
        <w:rPr>
          <w:rFonts w:ascii="Verdana" w:eastAsia="Calibri" w:hAnsi="Verdana" w:cs="Calibri"/>
          <w:b/>
          <w:bCs/>
          <w:sz w:val="22"/>
          <w:szCs w:val="22"/>
          <w:lang w:val="fr-FR"/>
        </w:rPr>
        <w:t>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. Au fil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du temps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, un certain nombre de groupes de recherche éminents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ont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évalu</w:t>
      </w:r>
      <w:r w:rsidR="00165BA6">
        <w:rPr>
          <w:rFonts w:ascii="Verdana" w:eastAsia="Calibri" w:hAnsi="Verdana" w:cs="Calibri"/>
          <w:b/>
          <w:bCs/>
          <w:sz w:val="22"/>
          <w:szCs w:val="22"/>
          <w:lang w:val="fr-FR"/>
        </w:rPr>
        <w:t>é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>l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es performances cliniques </w:t>
      </w:r>
      <w:r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d’EQUIA </w:t>
      </w:r>
      <w:r w:rsidR="00165BA6">
        <w:rPr>
          <w:rFonts w:ascii="Verdana" w:eastAsia="Calibri" w:hAnsi="Verdana" w:cs="Calibri"/>
          <w:b/>
          <w:bCs/>
          <w:sz w:val="22"/>
          <w:szCs w:val="22"/>
          <w:lang w:val="fr-FR"/>
        </w:rPr>
        <w:t>à travers</w:t>
      </w: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 plusieurs essais à court et à long terme.</w:t>
      </w:r>
    </w:p>
    <w:p w14:paraId="2DFD7FF0" w14:textId="77777777" w:rsidR="006A4BDF" w:rsidRPr="002D7F1B" w:rsidRDefault="006A4BDF" w:rsidP="006A4BDF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fr-FR"/>
        </w:rPr>
      </w:pPr>
    </w:p>
    <w:p w14:paraId="5463F13D" w14:textId="1480D87A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fr-FR"/>
        </w:rPr>
      </w:pPr>
      <w:r w:rsidRPr="006A4BDF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Des preuves de plus en plus nombreuses pour EQUIA </w:t>
      </w:r>
    </w:p>
    <w:p w14:paraId="192A8FA6" w14:textId="2D39F5B9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fr-FR"/>
        </w:rPr>
      </w:pP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Un nombre important d'articles publiés dans des revues de haut </w:t>
      </w:r>
      <w:r>
        <w:rPr>
          <w:rFonts w:ascii="Verdana" w:eastAsia="Calibri" w:hAnsi="Verdana" w:cs="Calibri"/>
          <w:sz w:val="22"/>
          <w:szCs w:val="22"/>
          <w:lang w:val="fr-FR"/>
        </w:rPr>
        <w:t xml:space="preserve">rang 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>ont mis en évidence les performances remarquables d'EQUIA dans les restaurations de Classe I et II après des périodes de suivi de 2 et 3 ans (Friedl et al</w:t>
      </w:r>
      <w:r w:rsidRPr="006A4BDF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1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 ; Klinke et al</w:t>
      </w:r>
      <w:r w:rsidRPr="006A4BDF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2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 ; Olegario et al</w:t>
      </w:r>
      <w:r w:rsidRPr="006A4BDF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3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 ; Fatidou et al</w:t>
      </w:r>
      <w:r w:rsidRPr="006A4BDF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4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 ; Lopez et al</w:t>
      </w:r>
      <w:r w:rsidRPr="006A4BDF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5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>). Deux autres études (Turkun et al</w:t>
      </w:r>
      <w:r w:rsidRPr="0071758C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 xml:space="preserve">6 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>et Basso et al</w:t>
      </w:r>
      <w:r w:rsidRPr="0071758C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7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) ont évalué les restaurations EQUIA après des périodes plus longues </w:t>
      </w:r>
      <w:r w:rsidR="002D7F1B" w:rsidRPr="006A4BDF">
        <w:rPr>
          <w:rFonts w:ascii="Verdana" w:eastAsia="Calibri" w:hAnsi="Verdana" w:cs="Calibri"/>
          <w:sz w:val="22"/>
          <w:szCs w:val="22"/>
          <w:lang w:val="fr-FR"/>
        </w:rPr>
        <w:t xml:space="preserve">respectivement 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de 6 et 7 ans, et ont conclu à sa fiabilité et à sa durabilité pour les restaurations de classe I, II et V. </w:t>
      </w:r>
    </w:p>
    <w:p w14:paraId="10D588A8" w14:textId="570598DB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fr-FR"/>
        </w:rPr>
      </w:pPr>
      <w:r w:rsidRPr="006A4BDF">
        <w:rPr>
          <w:rFonts w:ascii="Verdana" w:eastAsia="Calibri" w:hAnsi="Verdana" w:cs="Calibri"/>
          <w:sz w:val="22"/>
          <w:szCs w:val="22"/>
          <w:lang w:val="fr-FR"/>
        </w:rPr>
        <w:t>D'autres études importantes ont comparé EQUIA aux composites résine</w:t>
      </w:r>
      <w:r>
        <w:rPr>
          <w:rFonts w:ascii="Verdana" w:eastAsia="Calibri" w:hAnsi="Verdana" w:cs="Calibri"/>
          <w:sz w:val="22"/>
          <w:szCs w:val="22"/>
          <w:lang w:val="fr-FR"/>
        </w:rPr>
        <w:t>ux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 conventionnels. Par exemple, Menezes Silva et al</w:t>
      </w:r>
      <w:r w:rsidRPr="006A4BDF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8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 et Kupietzky et al</w:t>
      </w:r>
      <w:r w:rsidRPr="006A4BDF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9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 ont démontré des taux de réussite similaires </w:t>
      </w:r>
      <w:r w:rsidR="00EE3E7F">
        <w:rPr>
          <w:rFonts w:ascii="Verdana" w:eastAsia="Calibri" w:hAnsi="Verdana" w:cs="Calibri"/>
          <w:sz w:val="22"/>
          <w:szCs w:val="22"/>
          <w:lang w:val="fr-FR"/>
        </w:rPr>
        <w:t xml:space="preserve">entre 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EQUIA </w:t>
      </w:r>
      <w:r w:rsidR="00EE3E7F">
        <w:rPr>
          <w:rFonts w:ascii="Verdana" w:eastAsia="Calibri" w:hAnsi="Verdana" w:cs="Calibri"/>
          <w:sz w:val="22"/>
          <w:szCs w:val="22"/>
          <w:lang w:val="fr-FR"/>
        </w:rPr>
        <w:t xml:space="preserve">et un composite résineux </w:t>
      </w:r>
      <w:r w:rsidRPr="006A4BDF">
        <w:rPr>
          <w:rFonts w:ascii="Verdana" w:eastAsia="Calibri" w:hAnsi="Verdana" w:cs="Calibri"/>
          <w:sz w:val="22"/>
          <w:szCs w:val="22"/>
          <w:lang w:val="fr-FR"/>
        </w:rPr>
        <w:t xml:space="preserve">dans les restaurations de classe II après 3 ans. </w:t>
      </w:r>
    </w:p>
    <w:p w14:paraId="6AE85518" w14:textId="77777777" w:rsidR="006A4BDF" w:rsidRPr="006A4BDF" w:rsidRDefault="006A4BDF" w:rsidP="006A4BDF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fr-FR"/>
        </w:rPr>
      </w:pPr>
    </w:p>
    <w:p w14:paraId="4233C5A5" w14:textId="539C1098" w:rsidR="00112B68" w:rsidRPr="002D7F1B" w:rsidRDefault="00112B68" w:rsidP="00112B68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fr-FR"/>
        </w:rPr>
      </w:pPr>
      <w:r w:rsidRPr="00112B68">
        <w:rPr>
          <w:rFonts w:ascii="Verdana" w:eastAsia="Calibri" w:hAnsi="Verdana" w:cs="Calibri"/>
          <w:sz w:val="22"/>
          <w:szCs w:val="22"/>
          <w:lang w:val="fr-FR"/>
        </w:rPr>
        <w:t>Après une étude de 5 ans, Molina et al</w:t>
      </w:r>
      <w:r w:rsidRPr="00112B68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10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 xml:space="preserve"> ont révélé la performance optimale d'EQUIA pour les patients </w:t>
      </w:r>
      <w:r>
        <w:rPr>
          <w:rFonts w:ascii="Verdana" w:eastAsia="Calibri" w:hAnsi="Verdana" w:cs="Calibri"/>
          <w:sz w:val="22"/>
          <w:szCs w:val="22"/>
          <w:lang w:val="fr-FR"/>
        </w:rPr>
        <w:t xml:space="preserve">nécessitant des 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>soins spéciaux. EQUIA s'est également révélé être une option fiable pour les lésions cervicales non carieuses après 1 et 3 ans, comme l'ont décrit respectivement Vaid et al</w:t>
      </w:r>
      <w:r w:rsidRPr="00112B68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11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 xml:space="preserve"> et Celik et al</w:t>
      </w:r>
      <w:r w:rsidRPr="00112B68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12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>. Un essai contrôlé randomisé mené par Heck et al</w:t>
      </w:r>
      <w:r w:rsidRPr="00112B68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13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 xml:space="preserve"> a montré, après un suivi de 6 ans, la performance acceptable d'EQUIA pour </w:t>
      </w:r>
      <w:r>
        <w:rPr>
          <w:rFonts w:ascii="Verdana" w:eastAsia="Calibri" w:hAnsi="Verdana" w:cs="Calibri"/>
          <w:sz w:val="22"/>
          <w:szCs w:val="22"/>
          <w:lang w:val="fr-FR"/>
        </w:rPr>
        <w:t xml:space="preserve">les 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>restaurations de classe II sur deux ou trois faces.</w:t>
      </w:r>
    </w:p>
    <w:p w14:paraId="3146F28A" w14:textId="2C25DF5A" w:rsidR="00112B68" w:rsidRPr="00112B68" w:rsidRDefault="00112B68" w:rsidP="00112B68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fr-FR"/>
        </w:rPr>
      </w:pPr>
      <w:r w:rsidRPr="00112B68">
        <w:rPr>
          <w:rFonts w:ascii="Verdana" w:eastAsia="Calibri" w:hAnsi="Verdana" w:cs="Calibri"/>
          <w:sz w:val="22"/>
          <w:szCs w:val="22"/>
          <w:lang w:val="fr-FR"/>
        </w:rPr>
        <w:t>Enfin, Gurgan et al</w:t>
      </w:r>
      <w:r w:rsidRPr="00112B68">
        <w:rPr>
          <w:rFonts w:ascii="Verdana" w:eastAsia="Calibri" w:hAnsi="Verdana" w:cs="Calibri"/>
          <w:sz w:val="22"/>
          <w:szCs w:val="22"/>
          <w:vertAlign w:val="superscript"/>
          <w:lang w:val="fr-FR"/>
        </w:rPr>
        <w:t>14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 xml:space="preserve">. ont mené un essai clinique remarquable de </w:t>
      </w:r>
      <w:r>
        <w:rPr>
          <w:rFonts w:ascii="Verdana" w:eastAsia="Calibri" w:hAnsi="Verdana" w:cs="Calibri"/>
          <w:sz w:val="22"/>
          <w:szCs w:val="22"/>
          <w:lang w:val="fr-FR"/>
        </w:rPr>
        <w:t xml:space="preserve">          </w:t>
      </w:r>
      <w:r w:rsidRPr="00112B68">
        <w:rPr>
          <w:rFonts w:ascii="Verdana" w:eastAsia="Calibri" w:hAnsi="Verdana" w:cs="Calibri"/>
          <w:sz w:val="22"/>
          <w:szCs w:val="22"/>
          <w:lang w:val="fr-FR"/>
        </w:rPr>
        <w:t xml:space="preserve">10 ans qui a fait état d'un taux de réussite exceptionnel de 100% pour le système de restauration EQUIA dans les cavités de classe I et II. </w:t>
      </w:r>
    </w:p>
    <w:p w14:paraId="665F4C2B" w14:textId="77777777" w:rsidR="006E18D8" w:rsidRPr="002D7F1B" w:rsidRDefault="006E18D8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fr-FR"/>
        </w:rPr>
      </w:pPr>
    </w:p>
    <w:p w14:paraId="0BEF1263" w14:textId="550CBDFD" w:rsidR="00853840" w:rsidRPr="00853840" w:rsidRDefault="00853840" w:rsidP="008538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fr-FR"/>
        </w:rPr>
      </w:pPr>
      <w:r w:rsidRPr="00853840">
        <w:rPr>
          <w:rFonts w:ascii="Verdana" w:eastAsia="Calibri" w:hAnsi="Verdana" w:cs="Calibri"/>
          <w:b/>
          <w:bCs/>
          <w:sz w:val="22"/>
          <w:szCs w:val="22"/>
          <w:lang w:val="fr-FR"/>
        </w:rPr>
        <w:t xml:space="preserve">Verre hybride haute densité </w:t>
      </w:r>
      <w:r w:rsidRPr="00853840">
        <w:rPr>
          <w:rFonts w:ascii="Verdana" w:hAnsi="Verdana" w:cs="Calibri"/>
          <w:b/>
          <w:bCs/>
          <w:color w:val="auto"/>
          <w:sz w:val="22"/>
          <w:szCs w:val="22"/>
          <w:lang w:val="fr-FR"/>
        </w:rPr>
        <w:t>: une nouvelle ère de performance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</w:t>
      </w:r>
    </w:p>
    <w:p w14:paraId="6DA12772" w14:textId="6CBC66BB" w:rsidR="00853840" w:rsidRPr="00853840" w:rsidRDefault="00853840" w:rsidP="008538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fr-FR"/>
        </w:rPr>
      </w:pP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>S'appuyant sur les preuves cliniques nombreuses et positives du système de restauration EQUIA, GC a introduit en 2015 EQUIA Forte</w:t>
      </w:r>
      <w:r w:rsidRPr="00853840">
        <w:rPr>
          <w:rFonts w:ascii="Verdana" w:hAnsi="Verdana" w:cs="Calibri"/>
          <w:color w:val="auto"/>
          <w:sz w:val="22"/>
          <w:szCs w:val="22"/>
          <w:vertAlign w:val="superscript"/>
          <w:lang w:val="fr-FR"/>
        </w:rPr>
        <w:t>®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, le premier </w:t>
      </w:r>
      <w:r>
        <w:rPr>
          <w:rFonts w:ascii="Verdana" w:hAnsi="Verdana" w:cs="Calibri"/>
          <w:color w:val="auto"/>
          <w:sz w:val="22"/>
          <w:szCs w:val="22"/>
          <w:lang w:val="fr-FR"/>
        </w:rPr>
        <w:t>verre hybride haute densité</w:t>
      </w:r>
      <w:r w:rsidR="00CD7D9E">
        <w:rPr>
          <w:rFonts w:ascii="Verdana" w:hAnsi="Verdana" w:cs="Calibri"/>
          <w:color w:val="auto"/>
          <w:sz w:val="22"/>
          <w:szCs w:val="22"/>
          <w:lang w:val="fr-FR"/>
        </w:rPr>
        <w:t xml:space="preserve"> qui offre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une option sans précédent </w:t>
      </w:r>
      <w:r>
        <w:rPr>
          <w:rFonts w:ascii="Verdana" w:hAnsi="Verdana" w:cs="Calibri"/>
          <w:color w:val="auto"/>
          <w:sz w:val="22"/>
          <w:szCs w:val="22"/>
          <w:lang w:val="fr-FR"/>
        </w:rPr>
        <w:t>aux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restaurations à long terme. </w:t>
      </w:r>
    </w:p>
    <w:p w14:paraId="5A732531" w14:textId="7A998EB4" w:rsidR="00853840" w:rsidRPr="00853840" w:rsidRDefault="00853840" w:rsidP="008538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fr-FR"/>
        </w:rPr>
      </w:pP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Les résultats intermédiaires des études cliniques montrent </w:t>
      </w:r>
      <w:r w:rsidR="00CD7D9E">
        <w:rPr>
          <w:rFonts w:ascii="Verdana" w:hAnsi="Verdana" w:cs="Calibri"/>
          <w:color w:val="auto"/>
          <w:sz w:val="22"/>
          <w:szCs w:val="22"/>
          <w:lang w:val="fr-FR"/>
        </w:rPr>
        <w:t>la pertinence de l’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>'EQUIA Forte en tant que matériau à long terme pour restaurer des cavités de classe II de taille étendue. Gurgan S. et al</w:t>
      </w:r>
      <w:r w:rsidRPr="00CD7D9E">
        <w:rPr>
          <w:rFonts w:ascii="Verdana" w:hAnsi="Verdana" w:cs="Calibri"/>
          <w:color w:val="auto"/>
          <w:sz w:val="22"/>
          <w:szCs w:val="22"/>
          <w:vertAlign w:val="superscript"/>
          <w:lang w:val="fr-FR"/>
        </w:rPr>
        <w:t>15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ont comparé EQUIA Forte à un composite micro-hybride et ont conclu qu'après 4 ans, les deux matériaux présentaient des caractéristiques optimales de surface et d'adaptation marginale. L'étude multicentrique EQUIA Forte (Miletic I. et al</w:t>
      </w:r>
      <w:r w:rsidRPr="00CD7D9E">
        <w:rPr>
          <w:rFonts w:ascii="Verdana" w:hAnsi="Verdana" w:cs="Calibri"/>
          <w:color w:val="auto"/>
          <w:sz w:val="22"/>
          <w:szCs w:val="22"/>
          <w:vertAlign w:val="superscript"/>
          <w:lang w:val="fr-FR"/>
        </w:rPr>
        <w:t>16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) compare </w:t>
      </w:r>
      <w:r w:rsidR="00CD7D9E">
        <w:rPr>
          <w:rFonts w:ascii="Verdana" w:hAnsi="Verdana" w:cs="Calibri"/>
          <w:color w:val="auto"/>
          <w:sz w:val="22"/>
          <w:szCs w:val="22"/>
          <w:lang w:val="fr-FR"/>
        </w:rPr>
        <w:t xml:space="preserve">le 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verre </w:t>
      </w:r>
      <w:r w:rsidR="00CD7D9E">
        <w:rPr>
          <w:rFonts w:ascii="Verdana" w:hAnsi="Verdana" w:cs="Calibri"/>
          <w:color w:val="auto"/>
          <w:sz w:val="22"/>
          <w:szCs w:val="22"/>
          <w:lang w:val="fr-FR"/>
        </w:rPr>
        <w:t xml:space="preserve">hybride 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>à un composite nano-hybride</w:t>
      </w:r>
      <w:r w:rsidR="006E18D8">
        <w:rPr>
          <w:rFonts w:ascii="Verdana" w:hAnsi="Verdana" w:cs="Calibri"/>
          <w:color w:val="auto"/>
          <w:sz w:val="22"/>
          <w:szCs w:val="22"/>
          <w:lang w:val="fr-FR"/>
        </w:rPr>
        <w:t xml:space="preserve"> 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>(Tetric EvoCeram, Ivoclar Vivadent) et les résultats intermédiaires sur deux ans ont montré des performances cliniques similaires pour les deux matériaux.</w:t>
      </w:r>
    </w:p>
    <w:p w14:paraId="0E66AE7B" w14:textId="5FB369E2" w:rsidR="00853840" w:rsidRPr="00853840" w:rsidRDefault="00853840" w:rsidP="008538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fr-FR"/>
        </w:rPr>
      </w:pP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Soutenue par des années de recherches approfondies et des publications universitaires, cette analyse </w:t>
      </w:r>
      <w:r w:rsidR="006E18D8">
        <w:rPr>
          <w:rFonts w:ascii="Verdana" w:hAnsi="Verdana" w:cs="Calibri"/>
          <w:color w:val="auto"/>
          <w:sz w:val="22"/>
          <w:szCs w:val="22"/>
          <w:lang w:val="fr-FR"/>
        </w:rPr>
        <w:t>de la littérature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offre aux cliniciens une confiance inébranlable dans les systèmes de restauration </w:t>
      </w:r>
      <w:r w:rsidR="006E18D8">
        <w:rPr>
          <w:rFonts w:ascii="Verdana" w:hAnsi="Verdana" w:cs="Calibri"/>
          <w:color w:val="auto"/>
          <w:sz w:val="22"/>
          <w:szCs w:val="22"/>
          <w:lang w:val="fr-FR"/>
        </w:rPr>
        <w:t>verre hybride haute densité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</w:t>
      </w:r>
      <w:r w:rsidRPr="006E18D8">
        <w:rPr>
          <w:rFonts w:ascii="Verdana" w:hAnsi="Verdana" w:cs="Calibri"/>
          <w:color w:val="auto"/>
          <w:sz w:val="22"/>
          <w:szCs w:val="22"/>
          <w:u w:val="single"/>
          <w:lang w:val="fr-FR"/>
        </w:rPr>
        <w:t>comme alternative optimale de restauration à long terme.</w:t>
      </w:r>
    </w:p>
    <w:p w14:paraId="4F929EF2" w14:textId="40696E33" w:rsidR="00853840" w:rsidRPr="00853840" w:rsidRDefault="00853840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fr-FR"/>
        </w:rPr>
      </w:pP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lastRenderedPageBreak/>
        <w:t xml:space="preserve">Le dernier </w:t>
      </w:r>
      <w:r w:rsidR="006E18D8">
        <w:rPr>
          <w:rFonts w:ascii="Verdana" w:hAnsi="Verdana" w:cs="Calibri"/>
          <w:color w:val="auto"/>
          <w:sz w:val="22"/>
          <w:szCs w:val="22"/>
          <w:lang w:val="fr-FR"/>
        </w:rPr>
        <w:t>verre hybride haute densité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, EQUIA Forte HT, offre une esthétique et une résistance accrues par rapport à son prédécesseur EQUIA Forte, ce qui confirme que les </w:t>
      </w:r>
      <w:r w:rsidR="006E18D8">
        <w:rPr>
          <w:rFonts w:ascii="Verdana" w:hAnsi="Verdana" w:cs="Calibri"/>
          <w:color w:val="auto"/>
          <w:sz w:val="22"/>
          <w:szCs w:val="22"/>
          <w:lang w:val="fr-FR"/>
        </w:rPr>
        <w:t>verres hybrides haute densité</w:t>
      </w:r>
      <w:r w:rsidR="006E18D8"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>constituent une option de restauration à long terme fiable pour le</w:t>
      </w:r>
      <w:r w:rsidR="006E18D8">
        <w:rPr>
          <w:rFonts w:ascii="Verdana" w:hAnsi="Verdana" w:cs="Calibri"/>
          <w:color w:val="auto"/>
          <w:sz w:val="22"/>
          <w:szCs w:val="22"/>
          <w:lang w:val="fr-FR"/>
        </w:rPr>
        <w:t>s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</w:t>
      </w:r>
      <w:r w:rsidR="006E18D8">
        <w:rPr>
          <w:rFonts w:ascii="Verdana" w:hAnsi="Verdana" w:cs="Calibri"/>
          <w:color w:val="auto"/>
          <w:sz w:val="22"/>
          <w:szCs w:val="22"/>
          <w:lang w:val="fr-FR"/>
        </w:rPr>
        <w:t>praticiens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</w:t>
      </w:r>
      <w:r w:rsidR="002D7F1B">
        <w:rPr>
          <w:rFonts w:ascii="Verdana" w:hAnsi="Verdana" w:cs="Calibri"/>
          <w:color w:val="auto"/>
          <w:sz w:val="22"/>
          <w:szCs w:val="22"/>
          <w:lang w:val="fr-FR"/>
        </w:rPr>
        <w:t>et</w:t>
      </w:r>
      <w:r w:rsidRPr="00853840">
        <w:rPr>
          <w:rFonts w:ascii="Verdana" w:hAnsi="Verdana" w:cs="Calibri"/>
          <w:color w:val="auto"/>
          <w:sz w:val="22"/>
          <w:szCs w:val="22"/>
          <w:lang w:val="fr-FR"/>
        </w:rPr>
        <w:t xml:space="preserve"> rentable pour les patients.</w:t>
      </w:r>
    </w:p>
    <w:p w14:paraId="62FBFECC" w14:textId="77777777" w:rsidR="00853840" w:rsidRPr="00853840" w:rsidRDefault="00853840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fr-FR"/>
        </w:rPr>
      </w:pPr>
    </w:p>
    <w:p w14:paraId="017B6D9B" w14:textId="20569CF9" w:rsidR="004A6327" w:rsidRPr="00962C1A" w:rsidRDefault="00FC0033" w:rsidP="00714063">
      <w:pPr>
        <w:spacing w:line="360" w:lineRule="auto"/>
        <w:jc w:val="both"/>
        <w:rPr>
          <w:rFonts w:ascii="Verdana" w:eastAsia="Calibri" w:hAnsi="Verdana" w:cs="Calibri"/>
        </w:rPr>
      </w:pPr>
      <w:r w:rsidRPr="00962C1A">
        <w:rPr>
          <w:rFonts w:ascii="Verdana" w:eastAsia="Calibri" w:hAnsi="Verdana" w:cs="Calibri"/>
        </w:rPr>
        <w:t>References:</w:t>
      </w:r>
    </w:p>
    <w:p w14:paraId="67888D0C" w14:textId="280DEECF" w:rsidR="004A6327" w:rsidRPr="00962C1A" w:rsidRDefault="002A3C3B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962C1A">
        <w:rPr>
          <w:rFonts w:ascii="Verdana" w:hAnsi="Verdana" w:cs="Calibri"/>
          <w:sz w:val="22"/>
          <w:szCs w:val="22"/>
        </w:rPr>
        <w:t>Friedl K et al,</w:t>
      </w:r>
      <w:r w:rsidR="00A41F74" w:rsidRPr="00962C1A">
        <w:rPr>
          <w:rFonts w:ascii="Verdana" w:hAnsi="Verdana" w:cs="Calibri"/>
          <w:sz w:val="22"/>
          <w:szCs w:val="22"/>
        </w:rPr>
        <w:t xml:space="preserve"> </w:t>
      </w:r>
      <w:r w:rsidR="00A41F74" w:rsidRPr="00962C1A">
        <w:rPr>
          <w:rFonts w:ascii="Verdana" w:hAnsi="Verdana" w:cs="Calibri"/>
          <w:b/>
          <w:bCs/>
          <w:sz w:val="22"/>
          <w:szCs w:val="22"/>
        </w:rPr>
        <w:t xml:space="preserve">Clinical performance of a new glass ionomer-based restoration system: a retrospective cohort study </w:t>
      </w:r>
      <w:r w:rsidRPr="00962C1A">
        <w:rPr>
          <w:rFonts w:ascii="Verdana" w:hAnsi="Verdana" w:cs="Calibri"/>
          <w:sz w:val="22"/>
          <w:szCs w:val="22"/>
        </w:rPr>
        <w:t>Dent Mater. 2011 Oct;27(10):1031-7. doi: 10.1016/j.dental.2011.07.004</w:t>
      </w:r>
    </w:p>
    <w:p w14:paraId="50C91623" w14:textId="450B6F26" w:rsidR="00A41F74" w:rsidRPr="00962C1A" w:rsidRDefault="00A41F74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val="da-DK" w:bidi="hi-IN"/>
        </w:rPr>
        <w:t xml:space="preserve">Klinke T </w:t>
      </w:r>
      <w:r w:rsidRPr="00962C1A">
        <w:rPr>
          <w:rFonts w:ascii="Verdana" w:hAnsi="Verdana" w:cs="Calibri"/>
          <w:i/>
          <w:iCs/>
          <w:sz w:val="22"/>
          <w:szCs w:val="22"/>
          <w:lang w:val="da-DK" w:bidi="hi-IN"/>
        </w:rPr>
        <w:t>et al</w:t>
      </w:r>
      <w:r w:rsidRPr="00962C1A">
        <w:rPr>
          <w:rFonts w:ascii="Verdana" w:hAnsi="Verdana" w:cs="Calibri"/>
          <w:sz w:val="22"/>
          <w:szCs w:val="22"/>
          <w:lang w:val="da-DK" w:bidi="hi-IN"/>
        </w:rPr>
        <w:t xml:space="preserve">.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Clinical performance during 48 months of two current glass ionomer restorative systems with coatings: a randomized clinical trial in the field  </w:t>
      </w:r>
      <w:r w:rsidRPr="00962C1A">
        <w:rPr>
          <w:rFonts w:ascii="Verdana" w:hAnsi="Verdana" w:cs="Calibri"/>
          <w:sz w:val="22"/>
          <w:szCs w:val="22"/>
          <w:lang w:bidi="hi-IN"/>
        </w:rPr>
        <w:t>Trials. 2016 May 8;17(1):239. doi: 10.1186/s13063-016-1339-8</w:t>
      </w:r>
    </w:p>
    <w:p w14:paraId="2706427C" w14:textId="71B7D1B3" w:rsidR="00366DEF" w:rsidRPr="00962C1A" w:rsidRDefault="00A41F74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Olegário C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Glass carbomer and compomer for ART restorations: 3-year results of a randomized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>Clin Oral Investig. 2019 Apr;23(4):1761-1770.  doi: 10.1007/s00784-018-2593-9</w:t>
      </w:r>
    </w:p>
    <w:p w14:paraId="249289C6" w14:textId="5C032AB3" w:rsidR="007B0351" w:rsidRPr="00962C1A" w:rsidRDefault="00366DEF" w:rsidP="00E1667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Fatiadou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, A 3-year controlled randomized clinical study on the performance of two glass ionomer cements in Class II cavities of permanent teeth </w:t>
      </w:r>
      <w:r w:rsidRPr="00962C1A">
        <w:rPr>
          <w:rFonts w:ascii="Verdana" w:hAnsi="Verdana" w:cs="Calibri"/>
          <w:sz w:val="22"/>
          <w:szCs w:val="22"/>
          <w:lang w:bidi="hi-IN"/>
        </w:rPr>
        <w:t>Quintessence Int. 2019;50(8):592-602. doi: 10.3290/j.qi.a42692</w:t>
      </w:r>
      <w:r w:rsidRPr="00962C1A">
        <w:rPr>
          <w:rFonts w:ascii="Verdana" w:hAnsi="Verdana" w:cs="Calibri"/>
          <w:sz w:val="22"/>
          <w:szCs w:val="22"/>
          <w:lang w:bidi="hi-IN"/>
        </w:rPr>
        <w:br/>
        <w:t xml:space="preserve">Lopez L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Randomized clinical trial evaluating proximal retentions on ART restorations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Iss A):2120 </w:t>
      </w:r>
      <w:hyperlink r:id="rId8" w:history="1">
        <w:r w:rsidRPr="00962C1A">
          <w:rPr>
            <w:rStyle w:val="Lienhypertexte"/>
            <w:rFonts w:ascii="Verdana" w:hAnsi="Verdana" w:cs="Calibri"/>
            <w:sz w:val="22"/>
            <w:szCs w:val="22"/>
            <w:lang w:bidi="hi-IN"/>
          </w:rPr>
          <w:t>https://iadr2019.zerista.com/event/member/584705</w:t>
        </w:r>
      </w:hyperlink>
    </w:p>
    <w:p w14:paraId="68CB1C70" w14:textId="1498004B" w:rsidR="007B0351" w:rsidRPr="00962C1A" w:rsidRDefault="007B0351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Türkün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prospective six-year clinical study evaluating reinforced glass ionomer cements with resin coating on posterior teeth: quo vadis? </w:t>
      </w:r>
      <w:r w:rsidRPr="00962C1A">
        <w:rPr>
          <w:rFonts w:ascii="Verdana" w:hAnsi="Verdana" w:cs="Calibri"/>
          <w:sz w:val="22"/>
          <w:szCs w:val="22"/>
          <w:lang w:bidi="hi-IN"/>
        </w:rPr>
        <w:t>Oper Dent. 2016 Nov/Dec;41(6):587-598.  doi.org/10.2341/15-331-C</w:t>
      </w:r>
    </w:p>
    <w:p w14:paraId="5BFBF896" w14:textId="45040F63" w:rsidR="007B0351" w:rsidRPr="00962C1A" w:rsidRDefault="007B0351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 Basso M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7 Years, multicenter, clinical evaluation on 154 permanent restorations made with a glass ionomer-based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lastRenderedPageBreak/>
        <w:t xml:space="preserve">restorative system.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95 (Spec Iss B): 0446. 2016.  doi: 10.13140/RG.2.1.1603.2249 </w:t>
      </w:r>
    </w:p>
    <w:p w14:paraId="47CF18EA" w14:textId="28AAF732" w:rsidR="00AE2C17" w:rsidRPr="00962C1A" w:rsidRDefault="00AE2C17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Menezes-silva I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al,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="00106262"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randomized clinical trial evaluating ART and composite resin restorations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Iss A):3732 </w:t>
      </w:r>
      <w:hyperlink r:id="rId9" w:history="1">
        <w:r w:rsidR="00106262" w:rsidRPr="00962C1A">
          <w:rPr>
            <w:rStyle w:val="Lienhypertexte"/>
            <w:rFonts w:ascii="Verdana" w:hAnsi="Verdana" w:cs="Calibri"/>
            <w:sz w:val="22"/>
            <w:szCs w:val="22"/>
            <w:lang w:bidi="hi-IN"/>
          </w:rPr>
          <w:t>https://iadr2019.zerista.com/event/member/582959</w:t>
        </w:r>
      </w:hyperlink>
    </w:p>
    <w:p w14:paraId="5C6F5DEE" w14:textId="1D72A7A1" w:rsidR="00106262" w:rsidRPr="00962C1A" w:rsidRDefault="00106262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Kupietzky A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Long-term clinical performance of heat-cured high-viscosity glass ionomer class II restorations versus resin-based composites in primary molars: a randomized comparison trial.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Eur Arch Pediatric Dent. 2019 Feb 28. doi: 10.1007/s40368-019-00423-x</w:t>
      </w:r>
    </w:p>
    <w:p w14:paraId="281EC6E8" w14:textId="666F47BC" w:rsidR="00106262" w:rsidRPr="00962C1A" w:rsidRDefault="00106262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Molina G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Five-year follow-up of ART and CRT in patients with disability.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Iss A): 1357, </w:t>
      </w:r>
      <w:hyperlink r:id="rId10" w:history="1">
        <w:r w:rsidRPr="00962C1A">
          <w:rPr>
            <w:rStyle w:val="Lienhypertexte"/>
            <w:rFonts w:ascii="Verdana" w:hAnsi="Verdana" w:cs="Calibri"/>
            <w:sz w:val="22"/>
            <w:szCs w:val="22"/>
            <w:lang w:bidi="hi-IN"/>
          </w:rPr>
          <w:t>https://iadr2019.zerista.com/event/member/583146</w:t>
        </w:r>
      </w:hyperlink>
    </w:p>
    <w:p w14:paraId="32D20973" w14:textId="469F2A83" w:rsidR="00750722" w:rsidRPr="00962C1A" w:rsidRDefault="00750722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Vaid DS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One-year comparative clinical evaluation of EQUIA with resin-modified glass ionomer and a nanohybrid composite in non-carious cervical lesions. </w:t>
      </w:r>
      <w:r w:rsidRPr="00962C1A">
        <w:rPr>
          <w:rFonts w:ascii="Verdana" w:hAnsi="Verdana" w:cs="Calibri"/>
          <w:sz w:val="22"/>
          <w:szCs w:val="22"/>
          <w:lang w:bidi="hi-IN"/>
        </w:rPr>
        <w:t>Conserv Dent. 2015 Nov-Dec;18(6):449-52. doi: 10.4103/0972-0707.168805</w:t>
      </w:r>
    </w:p>
    <w:p w14:paraId="76C6D8D6" w14:textId="1BD1AB6D" w:rsidR="005871EE" w:rsidRPr="00962C1A" w:rsidRDefault="005871EE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Celik U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clinical evaluation of high-viscosity glass ionomer restorations in  non-carious cervical lesions: a randomized controlled split-mouth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Clin Oral Investig. </w:t>
      </w:r>
      <w:r w:rsidRPr="00962C1A">
        <w:rPr>
          <w:rFonts w:ascii="Verdana" w:hAnsi="Verdana" w:cs="Calibri"/>
          <w:sz w:val="22"/>
          <w:szCs w:val="22"/>
          <w:lang w:val="pt-BR" w:bidi="hi-IN"/>
        </w:rPr>
        <w:t>2019 Mar;23(3):1473-1480.  doi: 10.1007/s00784-018-2575-y</w:t>
      </w:r>
    </w:p>
    <w:p w14:paraId="57525F66" w14:textId="3DA08460" w:rsidR="00A56223" w:rsidRPr="00962C1A" w:rsidRDefault="00A56223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i/>
          <w:iCs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Heck K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Six-year results of a randomized controlled clinical trial of two glass ionomer cements in class II cavities</w:t>
      </w:r>
      <w:r w:rsidRPr="00962C1A">
        <w:rPr>
          <w:rFonts w:ascii="Verdana" w:hAnsi="Verdana" w:cs="Calibri"/>
          <w:b/>
          <w:bCs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>J Dent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sz w:val="22"/>
          <w:szCs w:val="22"/>
          <w:lang w:bidi="hi-IN"/>
        </w:rPr>
        <w:t>2020 Jun;97:103333. doi: 10.1016/j.jdent.2020.103333</w:t>
      </w:r>
    </w:p>
    <w:p w14:paraId="279FC4A7" w14:textId="0D4E1BF1" w:rsidR="00A56223" w:rsidRPr="00962C1A" w:rsidRDefault="00A56223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Gurgan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randomized controlled 10 years follow-up of a glass ionomer restorative material in class I and class II cavities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J Dent. 2020 Mar;94:103175. doi: 10.1016/j.jdent.2019.07.013</w:t>
      </w:r>
    </w:p>
    <w:p w14:paraId="79BD3C17" w14:textId="71DD30DE" w:rsidR="00A56223" w:rsidRPr="00962C1A" w:rsidRDefault="00A56223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>Gurgan S.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48-Month clinical performance of a glass hybrid in extended size class II cavities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. J Dent Res Vol 99 </w:t>
      </w:r>
      <w:r w:rsidRPr="00962C1A">
        <w:rPr>
          <w:rFonts w:ascii="Verdana" w:hAnsi="Verdana" w:cs="Calibri"/>
          <w:sz w:val="22"/>
          <w:szCs w:val="22"/>
          <w:lang w:bidi="hi-IN"/>
        </w:rPr>
        <w:lastRenderedPageBreak/>
        <w:t xml:space="preserve">(Spec Iss A): 1389 https://iadr2020.zerista.com/event/member/678011 </w:t>
      </w:r>
    </w:p>
    <w:p w14:paraId="7FBF18F6" w14:textId="222E97A9" w:rsidR="00A56223" w:rsidRPr="00962C1A" w:rsidRDefault="00A56223" w:rsidP="0071406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Miletic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Clinical performance of a glass-hybrid system compared with a resin composite in the posterior region: Results of a 2-year multicenter study.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J Adhes Dent. 2020;22(3):235-247. doi: 10.3290/j.jad.a44547. </w:t>
      </w:r>
    </w:p>
    <w:p w14:paraId="51AB9876" w14:textId="77777777" w:rsidR="00A56223" w:rsidRPr="00962C1A" w:rsidRDefault="00A56223" w:rsidP="00714063">
      <w:pPr>
        <w:pStyle w:val="Paragraphedeliste"/>
        <w:spacing w:line="360" w:lineRule="auto"/>
        <w:rPr>
          <w:rFonts w:ascii="Verdana" w:hAnsi="Verdana" w:cs="Calibri"/>
          <w:sz w:val="22"/>
          <w:szCs w:val="22"/>
          <w:lang w:bidi="hi-IN"/>
        </w:rPr>
      </w:pPr>
    </w:p>
    <w:p w14:paraId="490C3F68" w14:textId="77777777" w:rsidR="002A3C3B" w:rsidRPr="00962C1A" w:rsidRDefault="002A3C3B" w:rsidP="00714063">
      <w:pPr>
        <w:pStyle w:val="Paragraphedeliste"/>
        <w:spacing w:line="360" w:lineRule="auto"/>
        <w:jc w:val="both"/>
        <w:rPr>
          <w:rFonts w:ascii="Verdana" w:hAnsi="Verdana"/>
        </w:rPr>
      </w:pPr>
    </w:p>
    <w:p w14:paraId="5DF3DD1D" w14:textId="77777777" w:rsidR="001D076B" w:rsidRPr="001D076B" w:rsidRDefault="00ED0FF5" w:rsidP="001D076B">
      <w:pPr>
        <w:spacing w:line="360" w:lineRule="auto"/>
        <w:jc w:val="both"/>
        <w:rPr>
          <w:rFonts w:ascii="Verdana" w:hAnsi="Verdana"/>
          <w:color w:val="auto"/>
          <w:sz w:val="22"/>
          <w:szCs w:val="22"/>
          <w:u w:color="404040"/>
          <w:lang w:val="pt-BR"/>
        </w:rPr>
      </w:pPr>
      <w:r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 </w:t>
      </w:r>
      <w:r w:rsidR="001D076B" w:rsidRPr="001D076B">
        <w:rPr>
          <w:rFonts w:ascii="Verdana" w:hAnsi="Verdana"/>
          <w:color w:val="auto"/>
          <w:sz w:val="22"/>
          <w:szCs w:val="22"/>
          <w:u w:color="404040"/>
          <w:lang w:val="pt-BR"/>
        </w:rPr>
        <w:t>GC FRANCE s.a.s.</w:t>
      </w:r>
    </w:p>
    <w:p w14:paraId="6F768350" w14:textId="77777777" w:rsidR="001D076B" w:rsidRPr="001D076B" w:rsidRDefault="001D076B" w:rsidP="001D076B">
      <w:pPr>
        <w:spacing w:line="360" w:lineRule="auto"/>
        <w:jc w:val="both"/>
        <w:rPr>
          <w:rFonts w:ascii="Verdana" w:hAnsi="Verdana"/>
          <w:color w:val="auto"/>
          <w:sz w:val="22"/>
          <w:szCs w:val="22"/>
          <w:u w:color="404040"/>
          <w:lang w:val="pt-BR"/>
        </w:rPr>
      </w:pPr>
      <w:r w:rsidRPr="001D076B">
        <w:rPr>
          <w:rFonts w:ascii="Verdana" w:hAnsi="Verdana"/>
          <w:color w:val="auto"/>
          <w:sz w:val="22"/>
          <w:szCs w:val="22"/>
          <w:u w:color="404040"/>
          <w:lang w:val="pt-BR"/>
        </w:rPr>
        <w:t>8 rue Benjamin Franklin</w:t>
      </w:r>
    </w:p>
    <w:p w14:paraId="309895D7" w14:textId="77777777" w:rsidR="001D076B" w:rsidRPr="001D076B" w:rsidRDefault="001D076B" w:rsidP="001D076B">
      <w:pPr>
        <w:spacing w:line="360" w:lineRule="auto"/>
        <w:jc w:val="both"/>
        <w:rPr>
          <w:rFonts w:ascii="Verdana" w:hAnsi="Verdana"/>
          <w:color w:val="auto"/>
          <w:sz w:val="22"/>
          <w:szCs w:val="22"/>
          <w:u w:color="404040"/>
          <w:lang w:val="pt-BR"/>
        </w:rPr>
      </w:pPr>
      <w:r w:rsidRPr="001D076B">
        <w:rPr>
          <w:rFonts w:ascii="Verdana" w:hAnsi="Verdana"/>
          <w:color w:val="auto"/>
          <w:sz w:val="22"/>
          <w:szCs w:val="22"/>
          <w:u w:color="404040"/>
          <w:lang w:val="pt-BR"/>
        </w:rPr>
        <w:t>94370 Sucy en Brie Cedex</w:t>
      </w:r>
    </w:p>
    <w:p w14:paraId="68B923A8" w14:textId="77777777" w:rsidR="001D076B" w:rsidRPr="001D076B" w:rsidRDefault="001D076B" w:rsidP="001D076B">
      <w:pPr>
        <w:spacing w:line="360" w:lineRule="auto"/>
        <w:jc w:val="both"/>
        <w:rPr>
          <w:rFonts w:ascii="Verdana" w:hAnsi="Verdana"/>
          <w:color w:val="auto"/>
          <w:sz w:val="22"/>
          <w:szCs w:val="22"/>
          <w:u w:color="404040"/>
          <w:lang w:val="pt-BR"/>
        </w:rPr>
      </w:pPr>
      <w:r w:rsidRPr="001D076B">
        <w:rPr>
          <w:rFonts w:ascii="Verdana" w:hAnsi="Verdana"/>
          <w:color w:val="auto"/>
          <w:sz w:val="22"/>
          <w:szCs w:val="22"/>
          <w:u w:color="404040"/>
          <w:lang w:val="pt-BR"/>
        </w:rPr>
        <w:t>Tél. +33.1.49.80.37.91</w:t>
      </w:r>
    </w:p>
    <w:p w14:paraId="2199D9F8" w14:textId="77777777" w:rsidR="001D076B" w:rsidRPr="001D076B" w:rsidRDefault="001D076B" w:rsidP="001D076B">
      <w:pPr>
        <w:spacing w:line="360" w:lineRule="auto"/>
        <w:jc w:val="both"/>
        <w:rPr>
          <w:rFonts w:ascii="Verdana" w:hAnsi="Verdana"/>
          <w:color w:val="auto"/>
          <w:sz w:val="22"/>
          <w:szCs w:val="22"/>
          <w:u w:color="404040"/>
          <w:lang w:val="pt-BR"/>
        </w:rPr>
      </w:pPr>
      <w:r w:rsidRPr="001D076B">
        <w:rPr>
          <w:rFonts w:ascii="Verdana" w:hAnsi="Verdana"/>
          <w:color w:val="auto"/>
          <w:sz w:val="22"/>
          <w:szCs w:val="22"/>
          <w:u w:color="404040"/>
          <w:lang w:val="pt-BR"/>
        </w:rPr>
        <w:t>Fax. +33.1.45.76.32.68</w:t>
      </w:r>
    </w:p>
    <w:p w14:paraId="264BD530" w14:textId="77777777" w:rsidR="001D076B" w:rsidRPr="001D076B" w:rsidRDefault="001D076B" w:rsidP="001D076B">
      <w:pPr>
        <w:spacing w:line="360" w:lineRule="auto"/>
        <w:jc w:val="both"/>
        <w:rPr>
          <w:rFonts w:ascii="Verdana" w:hAnsi="Verdana"/>
          <w:color w:val="auto"/>
          <w:sz w:val="22"/>
          <w:szCs w:val="22"/>
          <w:u w:color="404040"/>
          <w:lang w:val="pt-BR"/>
        </w:rPr>
      </w:pPr>
      <w:r w:rsidRPr="001D076B">
        <w:rPr>
          <w:rFonts w:ascii="Verdana" w:hAnsi="Verdana"/>
          <w:color w:val="auto"/>
          <w:sz w:val="22"/>
          <w:szCs w:val="22"/>
          <w:u w:color="404040"/>
          <w:lang w:val="pt-BR"/>
        </w:rPr>
        <w:t>info.france@gc.dental</w:t>
      </w:r>
    </w:p>
    <w:p w14:paraId="5B3E8771" w14:textId="463E60F6" w:rsidR="004A6327" w:rsidRPr="00323228" w:rsidRDefault="001D076B" w:rsidP="001D076B">
      <w:pPr>
        <w:spacing w:line="360" w:lineRule="auto"/>
        <w:jc w:val="both"/>
        <w:rPr>
          <w:rFonts w:ascii="Verdana" w:hAnsi="Verdana"/>
          <w:color w:val="auto"/>
          <w:lang w:val="pt-BR"/>
        </w:rPr>
      </w:pPr>
      <w:r w:rsidRPr="001D076B">
        <w:rPr>
          <w:rFonts w:ascii="Verdana" w:hAnsi="Verdana"/>
          <w:color w:val="auto"/>
          <w:sz w:val="22"/>
          <w:szCs w:val="22"/>
          <w:u w:color="404040"/>
          <w:lang w:val="pt-BR"/>
        </w:rPr>
        <w:t>https://europe.gc.dental/fr-FR</w:t>
      </w:r>
    </w:p>
    <w:sectPr w:rsidR="004A6327" w:rsidRPr="00323228" w:rsidSect="005A1FEB">
      <w:headerReference w:type="default" r:id="rId11"/>
      <w:pgSz w:w="11900" w:h="16840"/>
      <w:pgMar w:top="1826" w:right="1985" w:bottom="1792" w:left="2053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2031F" w14:textId="77777777" w:rsidR="00860D04" w:rsidRDefault="00860D04">
      <w:r>
        <w:separator/>
      </w:r>
    </w:p>
  </w:endnote>
  <w:endnote w:type="continuationSeparator" w:id="0">
    <w:p w14:paraId="3B288B1A" w14:textId="77777777" w:rsidR="00860D04" w:rsidRDefault="0086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14D8E" w14:textId="77777777" w:rsidR="00860D04" w:rsidRDefault="00860D04">
      <w:r>
        <w:separator/>
      </w:r>
    </w:p>
  </w:footnote>
  <w:footnote w:type="continuationSeparator" w:id="0">
    <w:p w14:paraId="0F0FADDA" w14:textId="77777777" w:rsidR="00860D04" w:rsidRDefault="0086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7890F" w14:textId="77777777" w:rsidR="004A6327" w:rsidRDefault="00ED0FF5">
    <w:pPr>
      <w:pStyle w:val="En-tt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08454F9" wp14:editId="5E2A6461">
              <wp:simplePos x="0" y="0"/>
              <wp:positionH relativeFrom="page">
                <wp:posOffset>-161926</wp:posOffset>
              </wp:positionH>
              <wp:positionV relativeFrom="page">
                <wp:posOffset>200025</wp:posOffset>
              </wp:positionV>
              <wp:extent cx="7247893" cy="10201276"/>
              <wp:effectExtent l="19050" t="0" r="0" b="9525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7893" cy="10201276"/>
                        <a:chOff x="-1" y="0"/>
                        <a:chExt cx="7247892" cy="9651757"/>
                      </a:xfrm>
                    </wpg:grpSpPr>
                    <pic:pic xmlns:pic="http://schemas.openxmlformats.org/drawingml/2006/picture">
                      <pic:nvPicPr>
                        <pic:cNvPr id="1073741825" name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27705" y="9301871"/>
                          <a:ext cx="1566546" cy="34988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1073741829"/>
                      <wpg:cNvGrpSpPr/>
                      <wpg:grpSpPr>
                        <a:xfrm>
                          <a:off x="-1" y="0"/>
                          <a:ext cx="7247892" cy="575946"/>
                          <a:chOff x="0" y="0"/>
                          <a:chExt cx="7247890" cy="575945"/>
                        </a:xfrm>
                      </wpg:grpSpPr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685" y="0"/>
                            <a:ext cx="624206" cy="5759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Shape 1073741827"/>
                        <wps:cNvCnPr/>
                        <wps:spPr>
                          <a:xfrm>
                            <a:off x="0" y="138430"/>
                            <a:ext cx="6757671" cy="1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 flipV="1">
                            <a:off x="6566535" y="137160"/>
                            <a:ext cx="192406" cy="360046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6228F8" id="officeArt object" o:spid="_x0000_s1026" style="position:absolute;margin-left:-12.75pt;margin-top:15.75pt;width:570.7pt;height:803.25pt;z-index:-251658240;mso-wrap-distance-left:12pt;mso-wrap-distance-top:12pt;mso-wrap-distance-right:12pt;mso-wrap-distance-bottom:12pt;mso-position-horizontal-relative:page;mso-position-vertical-relative:page;mso-height-relative:margin" coordorigin="" coordsize="72478,96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pFq0gMAAOwMAAAOAAAAZHJzL2Uyb0RvYy54bWzcV9tu4zYQfS/QfyD0&#10;nuhmS7IQZ5EmTVBg0Qbdtu80RUnsipeStJ38/Q5JSY7tTbe7KIoiAaKIIoecOTPnDHP17okPaEe1&#10;YVKso/QyiRAVRDZMdOvo99/uL6oIGYtFgwcp6Dp6piZ6d/39d1d7VdNM9nJoqEawiTD1Xq2j3lpV&#10;x7EhPeXYXEpFBUy2UnNsYai7uNF4D7vzIc6SpIj3UjdKS0KNga93YTK69vu3LSX2l7Y11KJhHYFv&#10;1j+1f27cM76+wnWnseoZGd3A3+AFx0zAofNWd9hitNXsbCvOiJZGtvaSSB7LtmWE+hggmjQ5ieZB&#10;y63ysXT1vlMzTADtCU7fvC35efeoEWsgd0mZl4u0ygEmgTnkKnh3oy2Smz8BSQfWXnU12Dxo9UE9&#10;6vFDF0Yu/qdWc/cXbNGTh/l5hpk+WUTgY5ktymqVR4jAXJpA4FlZhEyQHtLlDC/SCB0sSf/jkW0W&#10;bFfFMi2XpTONp6Nj5+HskGKkht8ROXg7Q+7LFQZWdqtpNG7C/9EeHOuPW3UBSVbYsg0bmH32BQvp&#10;dE6J3SMjjzoMzpOQLackMI47eqlE56J0lm5xMMUutPeSfDRIyNsei47eGAWJAlQ9JsfLYzc8Oncz&#10;MHXPhsElzL2PEQI9TsrrMyCF4riTZMupsIGLmg4QrBSmZ8pESNeUbyiUlv6p8Q7h2lhNLendgS0c&#10;/Cs4G5I3T3gvD445nw1U2mdqK8+yskwAKKiTVZ6kVTkeMtVZuiyK5aIItZIvVlXlq2wuFcBPG/tA&#10;JUfuBfx0Re5Owrv3ZnRsWuI+DwLtAdusTIAjBINctRCwtxDSAQmx4JozC5I2ML6OFon7GetzEG6W&#10;elEatz9E58OGYWCYr9+ZbCcEzVZTbXh9QBNx4Tuc/5UEPebZhFxg6MiyZblcAYo+tpmfAMDr9HTo&#10;wKw3XI7RB2F4I+yEmgoS+UbYmYXsziT8F9hZFFleVIGdY5udqqvIFlky0vJQXP97WsIFxUwSuVfm&#10;TCS/qgd/6LGioBywkVf04x6clVOB+XUHivteN9rcirEBm9cUMpA0zasFNHXP3zkF0DYL0MvQgo8o&#10;eqaKAxPO01dV8YX0TQJZzAJp/vKmRg6smVqN0d3mdtBoh+FSdnN/c//DJJFHy5zy3mHTh3V+KgTx&#10;QmCrLwisgyq0D/e2kc2zxwxkyGcz4P/fpRUuw0E3TtJaucD+Pq2ohQb9h+vsLhXj9apwHS4PJEvz&#10;Mi1O0pyussXEtBySEmT8daa96VQfeg9cF12bhCu1vziO1393Z3859qsO/6RcfwI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BUyAY0&#10;4QAAAAwBAAAPAAAAZHJzL2Rvd25yZXYueG1sTI/BasMwDIbvg72D0WC31nFDSpfFKaVsO5XB2sHY&#10;TU3UJDSWQ+wm6dvPPa0nSejj16dsPZlWDNS7xrIGNY9AEBe2bLjS8H14n61AOI9cYmuZNFzJwTp/&#10;fMgwLe3IXzTsfSVCCLsUNdTed6mUrqjJoJvbjjjsTrY36MPYV7LscQzhppWLKFpKgw2HCzV2tK2p&#10;OO8vRsPHiOMmVm/D7nzaXn8PyefPTpHWz0/T5hWEp8n/w3DTD+qQB6ejvXDpRKthtkiSgGqIVag3&#10;QKnkBcQxdMt4FYHMM3n/RP4H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qB6RatIDAADsDAAADgAAAAAAAAAAAAAAAAA6AgAAZHJzL2Uyb0RvYy54&#10;bWxQSwECLQAKAAAAAAAAACEA1z+Y79gXAADYFwAAFAAAAAAAAAAAAAAAAAA4BgAAZHJzL21lZGlh&#10;L2ltYWdlMS5wbmdQSwECLQAKAAAAAAAAACEABnF0f0EaAABBGgAAFAAAAAAAAAAAAAAAAABCHgAA&#10;ZHJzL21lZGlhL2ltYWdlMi5wbmdQSwECLQAUAAYACAAAACEAVMgGNOEAAAAMAQAADwAAAAAAAAAA&#10;AAAAAAC1OAAAZHJzL2Rvd25yZXYueG1sUEsBAi0AFAAGAAgAAAAhAC5s8ADFAAAApQEAABkAAAAA&#10;AAAAAAAAAAAAwzkAAGRycy9fcmVscy9lMm9Eb2MueG1sLnJlbHNQSwUGAAAAAAcABwC+AQAAvzo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7" type="#_x0000_t75" style="position:absolute;left:32277;top:93018;width:15665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"/>
              </v:shape>
              <v:group id="Group 1073741829" o:spid="_x0000_s1028" style="position:absolute;width:72478;height:5759" coordsize="72478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image.png" o:spid="_x0000_s1029" type="#_x0000_t75" style="position:absolute;left:66236;width:624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"/>
                </v:shape>
                <v:line id="Shape 1073741827" o:spid="_x0000_s1030" style="position:absolute;visibility:visible;mso-wrap-style:square" from="0,1384" to="67576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jFyAAAAOMAAAAPAAAAZHJzL2Rvd25yZXYueG1sRE9fa8Iw&#10;EH8f7DuEG/g2U53YWo0iDmEwBptTfD2bsyk2l9pErd9+GQz2eL//N1t0thZXan3lWMGgn4AgLpyu&#10;uFSw/V4/ZyB8QNZYOyYFd/KwmD8+zDDX7sZfdN2EUsQQ9jkqMCE0uZS+MGTR911DHLmjay2GeLal&#10;1C3eYrit5TBJxtJixbHBYEMrQ8Vpc7EKxk0xWuF5suuW949Ps18fssnru1K9p245BRGoC//iP/eb&#10;jvOT9CUdDbJhCr8/RQDk/AcAAP//AwBQSwECLQAUAAYACAAAACEA2+H2y+4AAACFAQAAEwAAAAAA&#10;AAAAAAAAAAAAAAAAW0NvbnRlbnRfVHlwZXNdLnhtbFBLAQItABQABgAIAAAAIQBa9CxbvwAAABUB&#10;AAALAAAAAAAAAAAAAAAAAB8BAABfcmVscy8ucmVsc1BLAQItABQABgAIAAAAIQC7BvjFyAAAAOMA&#10;AAAPAAAAAAAAAAAAAAAAAAcCAABkcnMvZG93bnJldi54bWxQSwUGAAAAAAMAAwC3AAAA/AIAAAAA&#10;" strokecolor="#afafb0" strokeweight=".35mm">
                  <v:stroke joinstyle="miter" endcap="square"/>
                </v:line>
                <v:line id="Shape 1073741828" o:spid="_x0000_s1031" style="position:absolute;flip:y;visibility:visible;mso-wrap-style:square" from="65665,1371" to="67589,4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Q1ygAAAOMAAAAPAAAAZHJzL2Rvd25yZXYueG1sRI9BT8Mw&#10;DIXvSPsPkSdxY+kGrFVZNk1oSHAAtG7crcY0FY1TNaEr/x4fkDja7/m9z5vd5Ds10hDbwAaWiwwU&#10;cR1sy42B8+nppgAVE7LFLjAZ+KEIu+3saoOlDRc+0lilRkkIxxINuJT6UutYO/IYF6EnFu0zDB6T&#10;jEOj7YAXCfedXmXZWntsWRoc9vToqP6qvr2Bw3heV4ccXVPkr/v40b28v8V7Y67n0/4BVKIp/Zv/&#10;rp+t4Gf5bX63LFYCLT/JAvT2FwAA//8DAFBLAQItABQABgAIAAAAIQDb4fbL7gAAAIUBAAATAAAA&#10;AAAAAAAAAAAAAAAAAABbQ29udGVudF9UeXBlc10ueG1sUEsBAi0AFAAGAAgAAAAhAFr0LFu/AAAA&#10;FQEAAAsAAAAAAAAAAAAAAAAAHwEAAF9yZWxzLy5yZWxzUEsBAi0AFAAGAAgAAAAhAB43lDXKAAAA&#10;4wAAAA8AAAAAAAAAAAAAAAAABwIAAGRycy9kb3ducmV2LnhtbFBLBQYAAAAAAwADALcAAAD+AgAA&#10;AAA=&#10;" strokecolor="#afafb0" strokeweight=".35mm">
                  <v:stroke joinstyle="miter" endcap="square"/>
                </v:lin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6F94"/>
    <w:multiLevelType w:val="hybridMultilevel"/>
    <w:tmpl w:val="E04A3698"/>
    <w:lvl w:ilvl="0" w:tplc="C2E41D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786"/>
    <w:multiLevelType w:val="hybridMultilevel"/>
    <w:tmpl w:val="B986C3B4"/>
    <w:lvl w:ilvl="0" w:tplc="15385D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A88"/>
    <w:multiLevelType w:val="hybridMultilevel"/>
    <w:tmpl w:val="13DC607E"/>
    <w:lvl w:ilvl="0" w:tplc="C7AE0E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32AE"/>
    <w:multiLevelType w:val="hybridMultilevel"/>
    <w:tmpl w:val="83281D02"/>
    <w:lvl w:ilvl="0" w:tplc="4296C0B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efaultTabStop w:val="65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27"/>
    <w:rsid w:val="000003D6"/>
    <w:rsid w:val="0000716D"/>
    <w:rsid w:val="00036C13"/>
    <w:rsid w:val="00072E45"/>
    <w:rsid w:val="00091BA5"/>
    <w:rsid w:val="000C00FD"/>
    <w:rsid w:val="000C010C"/>
    <w:rsid w:val="000C1233"/>
    <w:rsid w:val="000C7B1C"/>
    <w:rsid w:val="00106262"/>
    <w:rsid w:val="00112B68"/>
    <w:rsid w:val="00165BA6"/>
    <w:rsid w:val="001A6B75"/>
    <w:rsid w:val="001B0286"/>
    <w:rsid w:val="001D076B"/>
    <w:rsid w:val="00206995"/>
    <w:rsid w:val="00241F2F"/>
    <w:rsid w:val="00290433"/>
    <w:rsid w:val="002A3C3B"/>
    <w:rsid w:val="002B1FBC"/>
    <w:rsid w:val="002D73CC"/>
    <w:rsid w:val="002D7F1B"/>
    <w:rsid w:val="00323228"/>
    <w:rsid w:val="00345202"/>
    <w:rsid w:val="00366DEF"/>
    <w:rsid w:val="0039265C"/>
    <w:rsid w:val="003C209D"/>
    <w:rsid w:val="00410E41"/>
    <w:rsid w:val="00465386"/>
    <w:rsid w:val="004A6327"/>
    <w:rsid w:val="004C0D9C"/>
    <w:rsid w:val="004C6D87"/>
    <w:rsid w:val="004D702E"/>
    <w:rsid w:val="004D7648"/>
    <w:rsid w:val="004E7E6C"/>
    <w:rsid w:val="005871EE"/>
    <w:rsid w:val="00595E3E"/>
    <w:rsid w:val="00596222"/>
    <w:rsid w:val="005A1FEB"/>
    <w:rsid w:val="005E464D"/>
    <w:rsid w:val="006356CB"/>
    <w:rsid w:val="00637D54"/>
    <w:rsid w:val="00653EAB"/>
    <w:rsid w:val="006559A5"/>
    <w:rsid w:val="00673BFD"/>
    <w:rsid w:val="00680B90"/>
    <w:rsid w:val="00691D63"/>
    <w:rsid w:val="006A4BDF"/>
    <w:rsid w:val="006C7168"/>
    <w:rsid w:val="006E18D8"/>
    <w:rsid w:val="007014F1"/>
    <w:rsid w:val="00702656"/>
    <w:rsid w:val="00714063"/>
    <w:rsid w:val="0071758C"/>
    <w:rsid w:val="007203F6"/>
    <w:rsid w:val="00750722"/>
    <w:rsid w:val="007943F6"/>
    <w:rsid w:val="007B0351"/>
    <w:rsid w:val="00814A7D"/>
    <w:rsid w:val="00853840"/>
    <w:rsid w:val="00860D04"/>
    <w:rsid w:val="00880BBA"/>
    <w:rsid w:val="008B06F9"/>
    <w:rsid w:val="008C76EC"/>
    <w:rsid w:val="008F6896"/>
    <w:rsid w:val="00915F35"/>
    <w:rsid w:val="00962C1A"/>
    <w:rsid w:val="009A7B89"/>
    <w:rsid w:val="00A41F74"/>
    <w:rsid w:val="00A56223"/>
    <w:rsid w:val="00AE2C17"/>
    <w:rsid w:val="00B3791F"/>
    <w:rsid w:val="00B403AF"/>
    <w:rsid w:val="00B46E98"/>
    <w:rsid w:val="00BB021D"/>
    <w:rsid w:val="00C536DF"/>
    <w:rsid w:val="00CC2515"/>
    <w:rsid w:val="00CD7D9E"/>
    <w:rsid w:val="00CE59F0"/>
    <w:rsid w:val="00CF7956"/>
    <w:rsid w:val="00D55134"/>
    <w:rsid w:val="00DA4331"/>
    <w:rsid w:val="00DC1A11"/>
    <w:rsid w:val="00DE1C26"/>
    <w:rsid w:val="00E27A41"/>
    <w:rsid w:val="00EC5C84"/>
    <w:rsid w:val="00ED0FF5"/>
    <w:rsid w:val="00EE3E7F"/>
    <w:rsid w:val="00FA7C42"/>
    <w:rsid w:val="00FC0033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3380D"/>
  <w15:docId w15:val="{02E07BFE-7A41-4524-B063-51A04D7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styleId="En-tte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ansinterligne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stLabel6">
    <w:name w:val="ListLabel 6"/>
    <w:rPr>
      <w:rFonts w:ascii="Verdana" w:hAnsi="Verdana"/>
      <w:color w:val="464646"/>
      <w:spacing w:val="5"/>
      <w:kern w:val="2"/>
      <w:sz w:val="22"/>
      <w:szCs w:val="22"/>
      <w:u w:val="none" w:color="464646"/>
      <w:lang w:val="de-DE"/>
    </w:rPr>
  </w:style>
  <w:style w:type="paragraph" w:styleId="NormalWeb">
    <w:name w:val="Normal (Web)"/>
    <w:uiPriority w:val="99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pacing w:val="5"/>
      <w:kern w:val="2"/>
      <w:sz w:val="22"/>
      <w:szCs w:val="22"/>
      <w:u w:val="single" w:color="0000FF"/>
      <w:lang w:val="de-DE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cs="Arial Unicode MS"/>
      <w:color w:val="000000"/>
      <w:u w:color="00000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0F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FF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0F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0FF5"/>
    <w:rPr>
      <w:rFonts w:cs="Arial Unicode MS"/>
      <w:b/>
      <w:bCs/>
      <w:color w:val="000000"/>
      <w:u w:color="00000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C7B1C"/>
    <w:pPr>
      <w:keepLines/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7B1C"/>
    <w:rPr>
      <w:rFonts w:cs="Arial Unicode MS"/>
      <w:color w:val="000000"/>
      <w:sz w:val="24"/>
      <w:szCs w:val="24"/>
      <w:u w:color="000000"/>
      <w:lang w:val="en-US"/>
    </w:rPr>
  </w:style>
  <w:style w:type="paragraph" w:styleId="Rvision">
    <w:name w:val="Revision"/>
    <w:hidden/>
    <w:uiPriority w:val="99"/>
    <w:semiHidden/>
    <w:rsid w:val="002B1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6559A5"/>
  </w:style>
  <w:style w:type="paragraph" w:styleId="Paragraphedeliste">
    <w:name w:val="List Paragraph"/>
    <w:basedOn w:val="Normal"/>
    <w:uiPriority w:val="34"/>
    <w:qFormat/>
    <w:rsid w:val="002A3C3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66DEF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7B1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0C7B1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7B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0C7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dr2019.zerista.com/event/member/5847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adr2019.zerista.com/event/member/583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adr2019.zerista.com/event/member/58295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9A5D-5A41-C14A-869E-FDFB5535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Derique, Nathalie</cp:lastModifiedBy>
  <cp:revision>2</cp:revision>
  <dcterms:created xsi:type="dcterms:W3CDTF">2020-09-29T06:19:00Z</dcterms:created>
  <dcterms:modified xsi:type="dcterms:W3CDTF">2020-09-29T06:19:00Z</dcterms:modified>
</cp:coreProperties>
</file>