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736AC6" w14:textId="77777777" w:rsidR="00BA5049" w:rsidRDefault="00BA5049" w:rsidP="00D2458F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32A6D37" w14:textId="12338B4B" w:rsidR="00166FE4" w:rsidRPr="0018105F" w:rsidRDefault="00166FE4" w:rsidP="00D2458F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8105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Foundation Nakao </w:t>
      </w:r>
      <w:r w:rsidR="0018105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for </w:t>
      </w:r>
      <w:proofErr w:type="spellStart"/>
      <w:r w:rsidR="0018105F">
        <w:rPr>
          <w:rFonts w:ascii="Times New Roman" w:hAnsi="Times New Roman" w:cs="Times New Roman"/>
          <w:b/>
          <w:bCs/>
          <w:sz w:val="24"/>
          <w:szCs w:val="24"/>
          <w:u w:val="single"/>
        </w:rPr>
        <w:t>Worlwide</w:t>
      </w:r>
      <w:proofErr w:type="spellEnd"/>
      <w:r w:rsidR="0018105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Oral Health</w:t>
      </w:r>
    </w:p>
    <w:p w14:paraId="2E6AEDC9" w14:textId="69CD9016" w:rsidR="008227B3" w:rsidRPr="008227B3" w:rsidRDefault="0018105F" w:rsidP="008227B3">
      <w:pPr>
        <w:jc w:val="center"/>
        <w:rPr>
          <w:rFonts w:ascii="Times New Roman" w:hAnsi="Times New Roman" w:cs="Times New Roman"/>
          <w:sz w:val="24"/>
          <w:szCs w:val="24"/>
          <w:lang w:val="de-DE"/>
        </w:rPr>
      </w:pPr>
      <w:r w:rsidRPr="0018105F">
        <w:rPr>
          <w:rFonts w:ascii="Times New Roman" w:hAnsi="Times New Roman" w:cs="Times New Roman"/>
          <w:b/>
          <w:bCs/>
          <w:sz w:val="24"/>
          <w:szCs w:val="24"/>
          <w:u w:val="single"/>
          <w:lang w:val="de-DE"/>
        </w:rPr>
        <w:t>Gewinner de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de-DE"/>
        </w:rPr>
        <w:t xml:space="preserve">r Forschungsförderung bei der ersten Ausschreibung </w:t>
      </w:r>
      <w:r w:rsidR="008227B3">
        <w:rPr>
          <w:rFonts w:ascii="Times New Roman" w:hAnsi="Times New Roman" w:cs="Times New Roman"/>
          <w:b/>
          <w:bCs/>
          <w:sz w:val="24"/>
          <w:szCs w:val="24"/>
          <w:u w:val="single"/>
          <w:lang w:val="de-DE"/>
        </w:rPr>
        <w:t xml:space="preserve">und Bewerbung für die zweite Ausschreibung des </w:t>
      </w:r>
      <w:proofErr w:type="spellStart"/>
      <w:r w:rsidR="008227B3" w:rsidRPr="008227B3">
        <w:rPr>
          <w:rFonts w:ascii="Times New Roman" w:hAnsi="Times New Roman" w:cs="Times New Roman"/>
          <w:b/>
          <w:bCs/>
          <w:sz w:val="24"/>
          <w:szCs w:val="24"/>
          <w:u w:val="single"/>
          <w:lang w:val="de-DE"/>
        </w:rPr>
        <w:t>Foundation</w:t>
      </w:r>
      <w:proofErr w:type="spellEnd"/>
      <w:r w:rsidR="008227B3" w:rsidRPr="008227B3">
        <w:rPr>
          <w:rFonts w:ascii="Times New Roman" w:hAnsi="Times New Roman" w:cs="Times New Roman"/>
          <w:b/>
          <w:bCs/>
          <w:sz w:val="24"/>
          <w:szCs w:val="24"/>
          <w:u w:val="single"/>
          <w:lang w:val="de-DE"/>
        </w:rPr>
        <w:t xml:space="preserve"> </w:t>
      </w:r>
      <w:proofErr w:type="spellStart"/>
      <w:r w:rsidR="008227B3" w:rsidRPr="008227B3">
        <w:rPr>
          <w:rFonts w:ascii="Times New Roman" w:hAnsi="Times New Roman" w:cs="Times New Roman"/>
          <w:b/>
          <w:bCs/>
          <w:sz w:val="24"/>
          <w:szCs w:val="24"/>
          <w:u w:val="single"/>
          <w:lang w:val="de-DE"/>
        </w:rPr>
        <w:t>Nakao</w:t>
      </w:r>
      <w:proofErr w:type="spellEnd"/>
      <w:r w:rsidR="008227B3" w:rsidRPr="008227B3">
        <w:rPr>
          <w:rFonts w:ascii="Times New Roman" w:hAnsi="Times New Roman" w:cs="Times New Roman"/>
          <w:b/>
          <w:bCs/>
          <w:sz w:val="24"/>
          <w:szCs w:val="24"/>
          <w:u w:val="single"/>
          <w:lang w:val="de-DE"/>
        </w:rPr>
        <w:t xml:space="preserve"> Grant</w:t>
      </w:r>
    </w:p>
    <w:p w14:paraId="07674B74" w14:textId="77777777" w:rsidR="007A6E84" w:rsidRPr="00166FE4" w:rsidRDefault="007A6E84" w:rsidP="008227B3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de-DE"/>
        </w:rPr>
      </w:pPr>
    </w:p>
    <w:p w14:paraId="3571DFA7" w14:textId="2F208312" w:rsidR="00166FE4" w:rsidRPr="00BA5049" w:rsidRDefault="008227B3" w:rsidP="00D93C30">
      <w:pPr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de-DE"/>
        </w:rPr>
      </w:pPr>
      <w:r w:rsidRPr="00BA5049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de-DE"/>
        </w:rPr>
        <w:t xml:space="preserve">Die </w:t>
      </w:r>
      <w:r w:rsidR="00BD4C4F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de-DE"/>
        </w:rPr>
        <w:t>„</w:t>
      </w:r>
      <w:proofErr w:type="spellStart"/>
      <w:r w:rsidR="00166FE4" w:rsidRPr="00BA5049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de-DE"/>
        </w:rPr>
        <w:t>Foundation</w:t>
      </w:r>
      <w:proofErr w:type="spellEnd"/>
      <w:r w:rsidR="00166FE4" w:rsidRPr="00BA5049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de-DE"/>
        </w:rPr>
        <w:t xml:space="preserve"> </w:t>
      </w:r>
      <w:proofErr w:type="spellStart"/>
      <w:r w:rsidR="00166FE4" w:rsidRPr="00BA5049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de-DE"/>
        </w:rPr>
        <w:t>Nakao</w:t>
      </w:r>
      <w:proofErr w:type="spellEnd"/>
      <w:r w:rsidR="00166FE4" w:rsidRPr="00BA5049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de-DE"/>
        </w:rPr>
        <w:t xml:space="preserve"> </w:t>
      </w:r>
      <w:proofErr w:type="spellStart"/>
      <w:r w:rsidRPr="00BA5049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de-DE"/>
        </w:rPr>
        <w:t>for</w:t>
      </w:r>
      <w:proofErr w:type="spellEnd"/>
      <w:r w:rsidRPr="00BA5049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de-DE"/>
        </w:rPr>
        <w:t xml:space="preserve"> Worldwide Oral Health</w:t>
      </w:r>
      <w:r w:rsidR="00BD4C4F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de-DE"/>
        </w:rPr>
        <w:t>“</w:t>
      </w:r>
      <w:r w:rsidRPr="00BA5049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de-DE"/>
        </w:rPr>
        <w:t xml:space="preserve"> </w:t>
      </w:r>
      <w:r w:rsidR="00166FE4" w:rsidRPr="00BA5049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de-DE"/>
        </w:rPr>
        <w:t>wurde im September 2018 in Luzern, Schweiz, gegründet</w:t>
      </w:r>
      <w:r w:rsidR="005376C8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de-DE"/>
        </w:rPr>
        <w:t>. Ihr Ziel ist es</w:t>
      </w:r>
      <w:r w:rsidR="00C81057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de-DE"/>
        </w:rPr>
        <w:t>,</w:t>
      </w:r>
      <w:r w:rsidR="005376C8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de-DE"/>
        </w:rPr>
        <w:t xml:space="preserve"> </w:t>
      </w:r>
      <w:r w:rsidR="00166FE4" w:rsidRPr="00BA5049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de-DE"/>
        </w:rPr>
        <w:t xml:space="preserve">einen </w:t>
      </w:r>
      <w:r w:rsidR="005376C8" w:rsidRPr="00BA5049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de-DE"/>
        </w:rPr>
        <w:t>weltweiten</w:t>
      </w:r>
      <w:r w:rsidR="005376C8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de-DE"/>
        </w:rPr>
        <w:t xml:space="preserve"> und nachhaltigen </w:t>
      </w:r>
      <w:r w:rsidR="00166FE4" w:rsidRPr="00BA5049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de-DE"/>
        </w:rPr>
        <w:t xml:space="preserve">Beitrag </w:t>
      </w:r>
      <w:r w:rsidR="005376C8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de-DE"/>
        </w:rPr>
        <w:t xml:space="preserve">für die </w:t>
      </w:r>
      <w:r w:rsidR="00166FE4" w:rsidRPr="00BA5049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de-DE"/>
        </w:rPr>
        <w:t>zahnmedizinische Gemeinschaft zu leisten.</w:t>
      </w:r>
    </w:p>
    <w:p w14:paraId="0B9DE958" w14:textId="47A96CE1" w:rsidR="00166FE4" w:rsidRPr="00BA5049" w:rsidRDefault="005376C8" w:rsidP="00BA5049">
      <w:pPr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de-DE"/>
        </w:rPr>
      </w:pPr>
      <w:r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de-DE"/>
        </w:rPr>
        <w:t xml:space="preserve">Die </w:t>
      </w:r>
      <w:proofErr w:type="spellStart"/>
      <w:r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de-DE"/>
        </w:rPr>
        <w:t>Foundation</w:t>
      </w:r>
      <w:proofErr w:type="spellEnd"/>
      <w:r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de-DE"/>
        </w:rPr>
        <w:t xml:space="preserve"> </w:t>
      </w:r>
      <w:proofErr w:type="spellStart"/>
      <w:r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de-DE"/>
        </w:rPr>
        <w:t>Nakao</w:t>
      </w:r>
      <w:proofErr w:type="spellEnd"/>
      <w:r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de-DE"/>
        </w:rPr>
        <w:t xml:space="preserve"> ist überzeugt, dass in Zeiten einer immer älter werdenden Gesellschaft</w:t>
      </w:r>
      <w:r w:rsidR="00637851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de-DE"/>
        </w:rPr>
        <w:t xml:space="preserve"> </w:t>
      </w:r>
      <w:r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de-DE"/>
        </w:rPr>
        <w:t xml:space="preserve">mit </w:t>
      </w:r>
      <w:r w:rsidR="00637851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de-DE"/>
        </w:rPr>
        <w:t>jährlich mehr</w:t>
      </w:r>
      <w:r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de-DE"/>
        </w:rPr>
        <w:t xml:space="preserve"> </w:t>
      </w:r>
      <w:r w:rsidR="00BD4C4F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de-DE"/>
        </w:rPr>
        <w:t>Menschen</w:t>
      </w:r>
      <w:r w:rsidR="00637851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de-DE"/>
        </w:rPr>
        <w:t>,</w:t>
      </w:r>
      <w:r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de-DE"/>
        </w:rPr>
        <w:t xml:space="preserve"> die das 100. Lebensjahr erreichen, ein</w:t>
      </w:r>
      <w:r w:rsidR="0032670C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de-DE"/>
        </w:rPr>
        <w:t>e</w:t>
      </w:r>
      <w:r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de-DE"/>
        </w:rPr>
        <w:t xml:space="preserve"> </w:t>
      </w:r>
      <w:r w:rsidR="0032670C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de-DE"/>
        </w:rPr>
        <w:t>bestmögliche</w:t>
      </w:r>
      <w:r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de-DE"/>
        </w:rPr>
        <w:t xml:space="preserve"> </w:t>
      </w:r>
      <w:r w:rsidR="0032670C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de-DE"/>
        </w:rPr>
        <w:t>Erhaltung</w:t>
      </w:r>
      <w:r w:rsidR="00BD4C4F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de-DE"/>
        </w:rPr>
        <w:t xml:space="preserve"> und Verbesserung</w:t>
      </w:r>
      <w:r w:rsidR="0032670C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de-DE"/>
        </w:rPr>
        <w:t xml:space="preserve"> der </w:t>
      </w:r>
      <w:r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de-DE"/>
        </w:rPr>
        <w:t>Mundgesundheit</w:t>
      </w:r>
      <w:r w:rsidR="00637851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de-DE"/>
        </w:rPr>
        <w:t>,</w:t>
      </w:r>
      <w:r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de-DE"/>
        </w:rPr>
        <w:t xml:space="preserve"> </w:t>
      </w:r>
      <w:r w:rsidR="0032670C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de-DE"/>
        </w:rPr>
        <w:t>ein</w:t>
      </w:r>
      <w:r w:rsidR="00637851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de-DE"/>
        </w:rPr>
        <w:t>en</w:t>
      </w:r>
      <w:r w:rsidR="0032670C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de-DE"/>
        </w:rPr>
        <w:t xml:space="preserve"> </w:t>
      </w:r>
      <w:r w:rsidR="00BD4C4F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de-DE"/>
        </w:rPr>
        <w:t>essenzielle</w:t>
      </w:r>
      <w:r w:rsidR="00637851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de-DE"/>
        </w:rPr>
        <w:t>n</w:t>
      </w:r>
      <w:r w:rsidR="0032670C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de-DE"/>
        </w:rPr>
        <w:t xml:space="preserve"> Beitrag</w:t>
      </w:r>
      <w:r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de-DE"/>
        </w:rPr>
        <w:t xml:space="preserve"> zur Verbesserung der Lebensqualität </w:t>
      </w:r>
      <w:r w:rsidR="00BD4C4F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de-DE"/>
        </w:rPr>
        <w:t>darstellt</w:t>
      </w:r>
      <w:r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de-DE"/>
        </w:rPr>
        <w:t>.</w:t>
      </w:r>
      <w:r w:rsidR="008227B3" w:rsidRPr="00BA5049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de-DE"/>
        </w:rPr>
        <w:t xml:space="preserve"> Die</w:t>
      </w:r>
      <w:r w:rsidR="00637851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de-DE"/>
        </w:rPr>
        <w:t>se</w:t>
      </w:r>
      <w:r w:rsidR="008227B3" w:rsidRPr="00BA5049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de-DE"/>
        </w:rPr>
        <w:t xml:space="preserve"> </w:t>
      </w:r>
      <w:r w:rsidR="00637851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de-DE"/>
        </w:rPr>
        <w:t>stet</w:t>
      </w:r>
      <w:r w:rsidR="005A0497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de-DE"/>
        </w:rPr>
        <w:t>e</w:t>
      </w:r>
      <w:r w:rsidR="00637851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de-DE"/>
        </w:rPr>
        <w:t xml:space="preserve"> </w:t>
      </w:r>
      <w:r w:rsidR="008227B3" w:rsidRPr="00BA5049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de-DE"/>
        </w:rPr>
        <w:t>Verbesserung der Mundgesundheit ist die</w:t>
      </w:r>
      <w:r w:rsidR="00637851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de-DE"/>
        </w:rPr>
        <w:t xml:space="preserve"> Herausforderung</w:t>
      </w:r>
      <w:r w:rsidR="008227B3" w:rsidRPr="00BA5049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de-DE"/>
        </w:rPr>
        <w:t>, d</w:t>
      </w:r>
      <w:r w:rsidR="006D74DD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de-DE"/>
        </w:rPr>
        <w:t>er</w:t>
      </w:r>
      <w:r w:rsidR="008227B3" w:rsidRPr="00BA5049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de-DE"/>
        </w:rPr>
        <w:t xml:space="preserve"> sich die Dentale Community stellen muss</w:t>
      </w:r>
      <w:r w:rsidR="00BD4C4F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de-DE"/>
        </w:rPr>
        <w:t>. Die</w:t>
      </w:r>
      <w:r w:rsidR="00BA5049" w:rsidRPr="00BA5049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de-DE"/>
        </w:rPr>
        <w:t xml:space="preserve">s </w:t>
      </w:r>
      <w:r w:rsidR="00637851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de-DE"/>
        </w:rPr>
        <w:t>unterstützt</w:t>
      </w:r>
      <w:r w:rsidR="00BA5049" w:rsidRPr="00BA5049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de-DE"/>
        </w:rPr>
        <w:t xml:space="preserve"> die </w:t>
      </w:r>
      <w:proofErr w:type="spellStart"/>
      <w:r w:rsidR="00BA5049" w:rsidRPr="00BA5049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de-DE"/>
        </w:rPr>
        <w:t>Foundation</w:t>
      </w:r>
      <w:proofErr w:type="spellEnd"/>
      <w:r w:rsidR="00BA5049" w:rsidRPr="00BA5049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de-DE"/>
        </w:rPr>
        <w:t xml:space="preserve"> </w:t>
      </w:r>
      <w:proofErr w:type="spellStart"/>
      <w:r w:rsidR="00BA5049" w:rsidRPr="00BA5049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de-DE"/>
        </w:rPr>
        <w:t>Nakao</w:t>
      </w:r>
      <w:proofErr w:type="spellEnd"/>
      <w:r w:rsidR="00BA5049" w:rsidRPr="00BA5049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de-DE"/>
        </w:rPr>
        <w:t xml:space="preserve"> mit dem </w:t>
      </w:r>
      <w:proofErr w:type="spellStart"/>
      <w:r w:rsidR="00BA5049" w:rsidRPr="00BA5049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de-DE"/>
        </w:rPr>
        <w:t>Foundation</w:t>
      </w:r>
      <w:proofErr w:type="spellEnd"/>
      <w:r w:rsidR="00BA5049" w:rsidRPr="00BA5049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de-DE"/>
        </w:rPr>
        <w:t xml:space="preserve"> </w:t>
      </w:r>
      <w:proofErr w:type="spellStart"/>
      <w:r w:rsidR="00BA5049" w:rsidRPr="00BA5049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de-DE"/>
        </w:rPr>
        <w:t>Nakao</w:t>
      </w:r>
      <w:proofErr w:type="spellEnd"/>
      <w:r w:rsidR="00BA5049" w:rsidRPr="00BA5049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de-DE"/>
        </w:rPr>
        <w:t xml:space="preserve"> Grant</w:t>
      </w:r>
      <w:r w:rsidR="00BD4C4F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de-DE"/>
        </w:rPr>
        <w:t>.</w:t>
      </w:r>
      <w:r w:rsidR="00BA5049" w:rsidRPr="00BA5049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de-DE"/>
        </w:rPr>
        <w:t xml:space="preserve"> </w:t>
      </w:r>
      <w:r w:rsidR="00BD4C4F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de-DE"/>
        </w:rPr>
        <w:t xml:space="preserve">Der Grant </w:t>
      </w:r>
      <w:r w:rsidR="00637851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de-DE"/>
        </w:rPr>
        <w:t>fördert</w:t>
      </w:r>
      <w:r w:rsidR="00BD4C4F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de-DE"/>
        </w:rPr>
        <w:t xml:space="preserve"> weltweit</w:t>
      </w:r>
      <w:r w:rsidR="006D74DD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de-DE"/>
        </w:rPr>
        <w:t xml:space="preserve"> </w:t>
      </w:r>
      <w:r w:rsidR="00637851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de-DE"/>
        </w:rPr>
        <w:t>Forschungsprojekte,</w:t>
      </w:r>
      <w:r w:rsidR="00BD4C4F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de-DE"/>
        </w:rPr>
        <w:t xml:space="preserve"> die hier</w:t>
      </w:r>
      <w:r w:rsidR="00637851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de-DE"/>
        </w:rPr>
        <w:t>zu wertvolle Beiträge</w:t>
      </w:r>
      <w:r w:rsidR="00BD4C4F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de-DE"/>
        </w:rPr>
        <w:t xml:space="preserve"> leisten.</w:t>
      </w:r>
      <w:r w:rsidR="00BA5049" w:rsidRPr="00BA5049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de-DE"/>
        </w:rPr>
        <w:t xml:space="preserve"> </w:t>
      </w:r>
    </w:p>
    <w:p w14:paraId="077A9B32" w14:textId="46AC5496" w:rsidR="004D0FE2" w:rsidRPr="00BA5049" w:rsidRDefault="00166FE4" w:rsidP="00D93C30">
      <w:pPr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de-DE"/>
        </w:rPr>
      </w:pPr>
      <w:r w:rsidRPr="00BA5049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de-DE"/>
        </w:rPr>
        <w:t xml:space="preserve">In diesem Frühjahr </w:t>
      </w:r>
      <w:r w:rsidR="00BA5049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de-DE"/>
        </w:rPr>
        <w:t xml:space="preserve">wurde in </w:t>
      </w:r>
      <w:r w:rsidRPr="00BA5049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de-DE"/>
        </w:rPr>
        <w:t>d</w:t>
      </w:r>
      <w:r w:rsidR="00BA5049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de-DE"/>
        </w:rPr>
        <w:t>er</w:t>
      </w:r>
      <w:r w:rsidRPr="00BA5049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de-DE"/>
        </w:rPr>
        <w:t xml:space="preserve"> 1. Sitzung des Vorstands </w:t>
      </w:r>
      <w:r w:rsidR="00BA5049" w:rsidRPr="00BA5049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de-DE"/>
        </w:rPr>
        <w:t>sowie</w:t>
      </w:r>
      <w:r w:rsidRPr="00BA5049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de-DE"/>
        </w:rPr>
        <w:t xml:space="preserve"> des Stiftungsrats</w:t>
      </w:r>
      <w:r w:rsidR="00BA5049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de-DE"/>
        </w:rPr>
        <w:t xml:space="preserve"> beschlossen</w:t>
      </w:r>
      <w:r w:rsidRPr="00BA5049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de-DE"/>
        </w:rPr>
        <w:t xml:space="preserve">, </w:t>
      </w:r>
      <w:r w:rsidR="00BA5049" w:rsidRPr="00BA5049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de-DE"/>
        </w:rPr>
        <w:t>sechs</w:t>
      </w:r>
      <w:r w:rsidRPr="00BA5049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de-DE"/>
        </w:rPr>
        <w:t xml:space="preserve"> universitären Forschungsinstituten auf der ganzen Welt Zuschüsse </w:t>
      </w:r>
      <w:r w:rsidR="00BD4C4F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de-DE"/>
        </w:rPr>
        <w:t xml:space="preserve">in Höhe von CHF 300.000 </w:t>
      </w:r>
      <w:r w:rsidRPr="00BA5049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de-DE"/>
        </w:rPr>
        <w:t>(</w:t>
      </w:r>
      <w:r w:rsidR="00BA5049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de-DE"/>
        </w:rPr>
        <w:t>CHF 50.000,00/pro Projekt</w:t>
      </w:r>
      <w:r w:rsidRPr="00BA5049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de-DE"/>
        </w:rPr>
        <w:t>) zu gewähren</w:t>
      </w:r>
      <w:r w:rsidR="00BA5049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de-DE"/>
        </w:rPr>
        <w:t xml:space="preserve">. Die Gewinner wurden aus </w:t>
      </w:r>
      <w:r w:rsidRPr="00BA5049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de-DE"/>
        </w:rPr>
        <w:t>40 Anträgen ausgewähl</w:t>
      </w:r>
      <w:r w:rsidR="00BA5049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de-DE"/>
        </w:rPr>
        <w:t xml:space="preserve">t. </w:t>
      </w:r>
    </w:p>
    <w:p w14:paraId="09242427" w14:textId="2F817B25" w:rsidR="00166FE4" w:rsidRPr="00BA5049" w:rsidRDefault="00BA5049" w:rsidP="00D93C30">
      <w:pPr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de-DE"/>
        </w:rPr>
      </w:pPr>
      <w:r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de-DE"/>
        </w:rPr>
        <w:t>Hier die</w:t>
      </w:r>
      <w:r w:rsidR="00166FE4" w:rsidRPr="00BA5049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de-DE"/>
        </w:rPr>
        <w:t xml:space="preserve"> Gewinner des 1. </w:t>
      </w:r>
      <w:proofErr w:type="spellStart"/>
      <w:r w:rsidR="00166FE4" w:rsidRPr="00BA5049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de-DE"/>
        </w:rPr>
        <w:t>Foundation</w:t>
      </w:r>
      <w:proofErr w:type="spellEnd"/>
      <w:r w:rsidR="00166FE4" w:rsidRPr="00BA5049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de-DE"/>
        </w:rPr>
        <w:t xml:space="preserve"> </w:t>
      </w:r>
      <w:proofErr w:type="spellStart"/>
      <w:r w:rsidR="00166FE4" w:rsidRPr="00BA5049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de-DE"/>
        </w:rPr>
        <w:t>Nakao</w:t>
      </w:r>
      <w:proofErr w:type="spellEnd"/>
      <w:r w:rsidR="00166FE4" w:rsidRPr="00BA5049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de-DE"/>
        </w:rPr>
        <w:t xml:space="preserve"> Grant</w:t>
      </w:r>
      <w:r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de-DE"/>
        </w:rPr>
        <w:t>:</w:t>
      </w:r>
      <w:r w:rsidR="00166FE4" w:rsidRPr="00BA5049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de-DE"/>
        </w:rPr>
        <w:t xml:space="preserve"> </w:t>
      </w:r>
    </w:p>
    <w:tbl>
      <w:tblPr>
        <w:tblStyle w:val="Tabellenraster"/>
        <w:tblW w:w="0" w:type="auto"/>
        <w:jc w:val="center"/>
        <w:tblLook w:val="04A0" w:firstRow="1" w:lastRow="0" w:firstColumn="1" w:lastColumn="0" w:noHBand="0" w:noVBand="1"/>
      </w:tblPr>
      <w:tblGrid>
        <w:gridCol w:w="2349"/>
        <w:gridCol w:w="2321"/>
        <w:gridCol w:w="2196"/>
        <w:gridCol w:w="2196"/>
      </w:tblGrid>
      <w:tr w:rsidR="007A7F9F" w14:paraId="1F589702" w14:textId="77777777" w:rsidTr="007A7F9F">
        <w:trPr>
          <w:jc w:val="center"/>
        </w:trPr>
        <w:tc>
          <w:tcPr>
            <w:tcW w:w="2349" w:type="dxa"/>
            <w:shd w:val="clear" w:color="auto" w:fill="DEEAF6" w:themeFill="accent5" w:themeFillTint="33"/>
          </w:tcPr>
          <w:p w14:paraId="0C6922FF" w14:textId="77777777" w:rsidR="007A7F9F" w:rsidRPr="00A45629" w:rsidRDefault="007A7F9F" w:rsidP="00787850">
            <w:pPr>
              <w:rPr>
                <w:b/>
                <w:bCs/>
              </w:rPr>
            </w:pPr>
            <w:r w:rsidRPr="00A45629">
              <w:rPr>
                <w:b/>
                <w:bCs/>
              </w:rPr>
              <w:t>Name</w:t>
            </w:r>
          </w:p>
        </w:tc>
        <w:tc>
          <w:tcPr>
            <w:tcW w:w="2321" w:type="dxa"/>
            <w:shd w:val="clear" w:color="auto" w:fill="DEEAF6" w:themeFill="accent5" w:themeFillTint="33"/>
          </w:tcPr>
          <w:p w14:paraId="3870556C" w14:textId="77777777" w:rsidR="007A7F9F" w:rsidRPr="00A45629" w:rsidRDefault="007A7F9F" w:rsidP="00787850">
            <w:pPr>
              <w:rPr>
                <w:b/>
                <w:bCs/>
              </w:rPr>
            </w:pPr>
            <w:r w:rsidRPr="00A45629">
              <w:rPr>
                <w:b/>
                <w:bCs/>
              </w:rPr>
              <w:t>Land</w:t>
            </w:r>
          </w:p>
        </w:tc>
        <w:tc>
          <w:tcPr>
            <w:tcW w:w="2196" w:type="dxa"/>
            <w:shd w:val="clear" w:color="auto" w:fill="DEEAF6" w:themeFill="accent5" w:themeFillTint="33"/>
          </w:tcPr>
          <w:p w14:paraId="4889E055" w14:textId="77777777" w:rsidR="007A7F9F" w:rsidRPr="00A45629" w:rsidRDefault="007A7F9F" w:rsidP="00787850">
            <w:pPr>
              <w:rPr>
                <w:b/>
                <w:bCs/>
              </w:rPr>
            </w:pPr>
            <w:r w:rsidRPr="00A45629">
              <w:rPr>
                <w:b/>
                <w:bCs/>
              </w:rPr>
              <w:t>Art der Organisation</w:t>
            </w:r>
          </w:p>
        </w:tc>
        <w:tc>
          <w:tcPr>
            <w:tcW w:w="2196" w:type="dxa"/>
            <w:shd w:val="clear" w:color="auto" w:fill="DEEAF6" w:themeFill="accent5" w:themeFillTint="33"/>
          </w:tcPr>
          <w:p w14:paraId="6C6FFD62" w14:textId="77777777" w:rsidR="007A7F9F" w:rsidRPr="00A45629" w:rsidRDefault="007A7F9F" w:rsidP="00787850">
            <w:pPr>
              <w:rPr>
                <w:b/>
                <w:bCs/>
              </w:rPr>
            </w:pPr>
            <w:r w:rsidRPr="00A45629">
              <w:rPr>
                <w:b/>
                <w:bCs/>
              </w:rPr>
              <w:t>Projekt-Thema</w:t>
            </w:r>
          </w:p>
        </w:tc>
      </w:tr>
      <w:tr w:rsidR="007A7F9F" w14:paraId="59A74554" w14:textId="77777777" w:rsidTr="007A7F9F">
        <w:trPr>
          <w:jc w:val="center"/>
        </w:trPr>
        <w:tc>
          <w:tcPr>
            <w:tcW w:w="2349" w:type="dxa"/>
            <w:shd w:val="clear" w:color="auto" w:fill="E2EFD9" w:themeFill="accent6" w:themeFillTint="33"/>
          </w:tcPr>
          <w:p w14:paraId="24A5EBB0" w14:textId="77777777" w:rsidR="007A7F9F" w:rsidRPr="00A45629" w:rsidRDefault="007A7F9F" w:rsidP="00787850">
            <w:pPr>
              <w:rPr>
                <w:sz w:val="16"/>
                <w:szCs w:val="16"/>
              </w:rPr>
            </w:pPr>
            <w:r w:rsidRPr="00A45629">
              <w:rPr>
                <w:sz w:val="16"/>
                <w:szCs w:val="16"/>
              </w:rPr>
              <w:t>UCL Eastman Dental Institute</w:t>
            </w:r>
          </w:p>
        </w:tc>
        <w:tc>
          <w:tcPr>
            <w:tcW w:w="2321" w:type="dxa"/>
            <w:shd w:val="clear" w:color="auto" w:fill="E2EFD9" w:themeFill="accent6" w:themeFillTint="33"/>
          </w:tcPr>
          <w:p w14:paraId="0C4F8F1D" w14:textId="77777777" w:rsidR="007A7F9F" w:rsidRPr="00A45629" w:rsidRDefault="007A7F9F" w:rsidP="00787850">
            <w:pPr>
              <w:rPr>
                <w:sz w:val="16"/>
                <w:szCs w:val="16"/>
              </w:rPr>
            </w:pPr>
            <w:r w:rsidRPr="00A45629">
              <w:rPr>
                <w:sz w:val="16"/>
                <w:szCs w:val="16"/>
              </w:rPr>
              <w:t>UK</w:t>
            </w:r>
          </w:p>
        </w:tc>
        <w:tc>
          <w:tcPr>
            <w:tcW w:w="2196" w:type="dxa"/>
            <w:shd w:val="clear" w:color="auto" w:fill="E2EFD9" w:themeFill="accent6" w:themeFillTint="33"/>
          </w:tcPr>
          <w:p w14:paraId="63320CA5" w14:textId="77777777" w:rsidR="007A7F9F" w:rsidRPr="00A45629" w:rsidRDefault="007A7F9F" w:rsidP="00787850">
            <w:pPr>
              <w:rPr>
                <w:sz w:val="16"/>
                <w:szCs w:val="16"/>
              </w:rPr>
            </w:pPr>
            <w:r w:rsidRPr="00A45629">
              <w:rPr>
                <w:sz w:val="16"/>
                <w:szCs w:val="16"/>
              </w:rPr>
              <w:t>Universität</w:t>
            </w:r>
          </w:p>
        </w:tc>
        <w:tc>
          <w:tcPr>
            <w:tcW w:w="2196" w:type="dxa"/>
            <w:shd w:val="clear" w:color="auto" w:fill="E2EFD9" w:themeFill="accent6" w:themeFillTint="33"/>
          </w:tcPr>
          <w:p w14:paraId="121C103A" w14:textId="77777777" w:rsidR="007A7F9F" w:rsidRPr="00A45629" w:rsidRDefault="007A7F9F" w:rsidP="00787850">
            <w:pPr>
              <w:rPr>
                <w:sz w:val="16"/>
                <w:szCs w:val="16"/>
              </w:rPr>
            </w:pPr>
            <w:r w:rsidRPr="00A45629">
              <w:rPr>
                <w:sz w:val="16"/>
                <w:szCs w:val="16"/>
              </w:rPr>
              <w:t>Orale Fragilität</w:t>
            </w:r>
          </w:p>
        </w:tc>
      </w:tr>
      <w:tr w:rsidR="007A7F9F" w14:paraId="75F9DA89" w14:textId="77777777" w:rsidTr="007A7F9F">
        <w:trPr>
          <w:jc w:val="center"/>
        </w:trPr>
        <w:tc>
          <w:tcPr>
            <w:tcW w:w="2349" w:type="dxa"/>
            <w:shd w:val="clear" w:color="auto" w:fill="E2EFD9" w:themeFill="accent6" w:themeFillTint="33"/>
          </w:tcPr>
          <w:p w14:paraId="011B9391" w14:textId="77777777" w:rsidR="007A7F9F" w:rsidRDefault="007A7F9F" w:rsidP="00787850">
            <w:pPr>
              <w:rPr>
                <w:sz w:val="16"/>
                <w:szCs w:val="16"/>
              </w:rPr>
            </w:pPr>
            <w:r w:rsidRPr="00A45629">
              <w:rPr>
                <w:sz w:val="16"/>
                <w:szCs w:val="16"/>
              </w:rPr>
              <w:t xml:space="preserve">Charité – </w:t>
            </w:r>
          </w:p>
          <w:p w14:paraId="19F8D24F" w14:textId="77777777" w:rsidR="007A7F9F" w:rsidRPr="00A45629" w:rsidRDefault="007A7F9F" w:rsidP="00787850">
            <w:pPr>
              <w:rPr>
                <w:sz w:val="16"/>
                <w:szCs w:val="16"/>
              </w:rPr>
            </w:pPr>
            <w:r w:rsidRPr="00A45629">
              <w:rPr>
                <w:sz w:val="16"/>
                <w:szCs w:val="16"/>
              </w:rPr>
              <w:t>Universitätsmedizin Berlin</w:t>
            </w:r>
          </w:p>
        </w:tc>
        <w:tc>
          <w:tcPr>
            <w:tcW w:w="2321" w:type="dxa"/>
            <w:shd w:val="clear" w:color="auto" w:fill="E2EFD9" w:themeFill="accent6" w:themeFillTint="33"/>
          </w:tcPr>
          <w:p w14:paraId="79A8CFC1" w14:textId="77777777" w:rsidR="007A7F9F" w:rsidRPr="00A45629" w:rsidRDefault="007A7F9F" w:rsidP="00787850">
            <w:pPr>
              <w:rPr>
                <w:sz w:val="16"/>
                <w:szCs w:val="16"/>
              </w:rPr>
            </w:pPr>
            <w:r w:rsidRPr="00A45629">
              <w:rPr>
                <w:sz w:val="16"/>
                <w:szCs w:val="16"/>
              </w:rPr>
              <w:t>Deutschland</w:t>
            </w:r>
          </w:p>
        </w:tc>
        <w:tc>
          <w:tcPr>
            <w:tcW w:w="2196" w:type="dxa"/>
            <w:shd w:val="clear" w:color="auto" w:fill="E2EFD9" w:themeFill="accent6" w:themeFillTint="33"/>
          </w:tcPr>
          <w:p w14:paraId="5C370726" w14:textId="77777777" w:rsidR="007A7F9F" w:rsidRPr="00A45629" w:rsidRDefault="007A7F9F" w:rsidP="00787850">
            <w:pPr>
              <w:rPr>
                <w:sz w:val="16"/>
                <w:szCs w:val="16"/>
              </w:rPr>
            </w:pPr>
            <w:r w:rsidRPr="00A45629">
              <w:rPr>
                <w:sz w:val="16"/>
                <w:szCs w:val="16"/>
              </w:rPr>
              <w:t>Universität</w:t>
            </w:r>
          </w:p>
        </w:tc>
        <w:tc>
          <w:tcPr>
            <w:tcW w:w="2196" w:type="dxa"/>
            <w:shd w:val="clear" w:color="auto" w:fill="E2EFD9" w:themeFill="accent6" w:themeFillTint="33"/>
          </w:tcPr>
          <w:p w14:paraId="461A31EB" w14:textId="77777777" w:rsidR="007A7F9F" w:rsidRPr="00A45629" w:rsidRDefault="007A7F9F" w:rsidP="00787850">
            <w:pPr>
              <w:rPr>
                <w:sz w:val="16"/>
                <w:szCs w:val="16"/>
              </w:rPr>
            </w:pPr>
            <w:r w:rsidRPr="00A45629">
              <w:rPr>
                <w:sz w:val="16"/>
                <w:szCs w:val="16"/>
              </w:rPr>
              <w:t>Minimalinvasive Zahnheilkunde</w:t>
            </w:r>
          </w:p>
        </w:tc>
      </w:tr>
      <w:tr w:rsidR="007A7F9F" w:rsidRPr="00A45629" w14:paraId="277BAB52" w14:textId="77777777" w:rsidTr="007A7F9F">
        <w:trPr>
          <w:jc w:val="center"/>
        </w:trPr>
        <w:tc>
          <w:tcPr>
            <w:tcW w:w="2349" w:type="dxa"/>
            <w:shd w:val="clear" w:color="auto" w:fill="E2EFD9" w:themeFill="accent6" w:themeFillTint="33"/>
          </w:tcPr>
          <w:p w14:paraId="0D41B5A1" w14:textId="77777777" w:rsidR="007A7F9F" w:rsidRPr="00A45629" w:rsidRDefault="007A7F9F" w:rsidP="00787850">
            <w:pPr>
              <w:rPr>
                <w:sz w:val="16"/>
                <w:szCs w:val="16"/>
                <w:lang w:val="en-US"/>
              </w:rPr>
            </w:pPr>
            <w:r w:rsidRPr="00A45629">
              <w:rPr>
                <w:sz w:val="16"/>
                <w:szCs w:val="16"/>
                <w:lang w:val="en-US"/>
              </w:rPr>
              <w:t>Nihon University School of Dentistry</w:t>
            </w:r>
          </w:p>
          <w:p w14:paraId="2CE19EB5" w14:textId="77777777" w:rsidR="007A7F9F" w:rsidRPr="00A45629" w:rsidRDefault="007A7F9F" w:rsidP="00787850">
            <w:pPr>
              <w:rPr>
                <w:sz w:val="16"/>
                <w:szCs w:val="16"/>
                <w:lang w:val="en-US"/>
              </w:rPr>
            </w:pPr>
            <w:proofErr w:type="spellStart"/>
            <w:r w:rsidRPr="00A45629">
              <w:rPr>
                <w:sz w:val="16"/>
                <w:szCs w:val="16"/>
                <w:lang w:val="en-US"/>
              </w:rPr>
              <w:t>Departement</w:t>
            </w:r>
            <w:proofErr w:type="spellEnd"/>
            <w:r w:rsidRPr="00A45629">
              <w:rPr>
                <w:sz w:val="16"/>
                <w:szCs w:val="16"/>
                <w:lang w:val="en-US"/>
              </w:rPr>
              <w:t xml:space="preserve"> of Operative Dentistry</w:t>
            </w:r>
          </w:p>
        </w:tc>
        <w:tc>
          <w:tcPr>
            <w:tcW w:w="2321" w:type="dxa"/>
            <w:shd w:val="clear" w:color="auto" w:fill="E2EFD9" w:themeFill="accent6" w:themeFillTint="33"/>
          </w:tcPr>
          <w:p w14:paraId="66924897" w14:textId="77777777" w:rsidR="007A7F9F" w:rsidRPr="00A45629" w:rsidRDefault="007A7F9F" w:rsidP="00787850">
            <w:pPr>
              <w:rPr>
                <w:sz w:val="16"/>
                <w:szCs w:val="16"/>
                <w:lang w:val="en-US"/>
              </w:rPr>
            </w:pPr>
            <w:r w:rsidRPr="00A45629">
              <w:rPr>
                <w:sz w:val="16"/>
                <w:szCs w:val="16"/>
                <w:lang w:val="en-US"/>
              </w:rPr>
              <w:t>Japan</w:t>
            </w:r>
          </w:p>
        </w:tc>
        <w:tc>
          <w:tcPr>
            <w:tcW w:w="2196" w:type="dxa"/>
            <w:shd w:val="clear" w:color="auto" w:fill="E2EFD9" w:themeFill="accent6" w:themeFillTint="33"/>
          </w:tcPr>
          <w:p w14:paraId="14F7A399" w14:textId="77777777" w:rsidR="007A7F9F" w:rsidRPr="00A45629" w:rsidRDefault="007A7F9F" w:rsidP="00787850">
            <w:pPr>
              <w:rPr>
                <w:sz w:val="16"/>
                <w:szCs w:val="16"/>
                <w:lang w:val="en-US"/>
              </w:rPr>
            </w:pPr>
            <w:r w:rsidRPr="00A45629">
              <w:rPr>
                <w:sz w:val="16"/>
                <w:szCs w:val="16"/>
              </w:rPr>
              <w:t>Universität</w:t>
            </w:r>
          </w:p>
        </w:tc>
        <w:tc>
          <w:tcPr>
            <w:tcW w:w="2196" w:type="dxa"/>
            <w:shd w:val="clear" w:color="auto" w:fill="E2EFD9" w:themeFill="accent6" w:themeFillTint="33"/>
          </w:tcPr>
          <w:p w14:paraId="7B4BD6C8" w14:textId="77777777" w:rsidR="007A7F9F" w:rsidRPr="00A45629" w:rsidRDefault="007A7F9F" w:rsidP="00787850">
            <w:pPr>
              <w:rPr>
                <w:sz w:val="16"/>
                <w:szCs w:val="16"/>
              </w:rPr>
            </w:pPr>
            <w:r w:rsidRPr="00A45629">
              <w:rPr>
                <w:sz w:val="16"/>
                <w:szCs w:val="16"/>
              </w:rPr>
              <w:t>Mundgesundheit für die alternde Bevölkerung</w:t>
            </w:r>
          </w:p>
        </w:tc>
      </w:tr>
      <w:tr w:rsidR="007A7F9F" w:rsidRPr="00A45629" w14:paraId="19B14EDA" w14:textId="77777777" w:rsidTr="007A7F9F">
        <w:trPr>
          <w:jc w:val="center"/>
        </w:trPr>
        <w:tc>
          <w:tcPr>
            <w:tcW w:w="2349" w:type="dxa"/>
            <w:shd w:val="clear" w:color="auto" w:fill="E2EFD9" w:themeFill="accent6" w:themeFillTint="33"/>
          </w:tcPr>
          <w:p w14:paraId="4E683B96" w14:textId="77777777" w:rsidR="007A7F9F" w:rsidRDefault="007A7F9F" w:rsidP="00787850">
            <w:pPr>
              <w:rPr>
                <w:sz w:val="16"/>
                <w:szCs w:val="16"/>
                <w:lang w:val="en-US"/>
              </w:rPr>
            </w:pPr>
            <w:r w:rsidRPr="00A45629">
              <w:rPr>
                <w:sz w:val="16"/>
                <w:szCs w:val="16"/>
                <w:lang w:val="en-US"/>
              </w:rPr>
              <w:t xml:space="preserve">University of </w:t>
            </w:r>
            <w:proofErr w:type="spellStart"/>
            <w:r w:rsidRPr="00A45629">
              <w:rPr>
                <w:sz w:val="16"/>
                <w:szCs w:val="16"/>
                <w:lang w:val="en-US"/>
              </w:rPr>
              <w:t>Adelaise</w:t>
            </w:r>
            <w:proofErr w:type="spellEnd"/>
            <w:r w:rsidRPr="00A45629">
              <w:rPr>
                <w:sz w:val="16"/>
                <w:szCs w:val="16"/>
                <w:lang w:val="en-US"/>
              </w:rPr>
              <w:t xml:space="preserve"> </w:t>
            </w:r>
          </w:p>
          <w:p w14:paraId="0FC2B852" w14:textId="77777777" w:rsidR="007A7F9F" w:rsidRPr="00A45629" w:rsidRDefault="007A7F9F" w:rsidP="00787850">
            <w:pPr>
              <w:rPr>
                <w:sz w:val="16"/>
                <w:szCs w:val="16"/>
                <w:lang w:val="en-US"/>
              </w:rPr>
            </w:pPr>
            <w:r w:rsidRPr="00A45629">
              <w:rPr>
                <w:sz w:val="16"/>
                <w:szCs w:val="16"/>
                <w:lang w:val="en-US"/>
              </w:rPr>
              <w:t>Adelaide Dental School</w:t>
            </w:r>
          </w:p>
        </w:tc>
        <w:tc>
          <w:tcPr>
            <w:tcW w:w="2321" w:type="dxa"/>
            <w:shd w:val="clear" w:color="auto" w:fill="E2EFD9" w:themeFill="accent6" w:themeFillTint="33"/>
          </w:tcPr>
          <w:p w14:paraId="3C25D890" w14:textId="77777777" w:rsidR="007A7F9F" w:rsidRPr="00A45629" w:rsidRDefault="007A7F9F" w:rsidP="00787850">
            <w:pPr>
              <w:rPr>
                <w:sz w:val="16"/>
                <w:szCs w:val="16"/>
                <w:lang w:val="en-US"/>
              </w:rPr>
            </w:pPr>
            <w:proofErr w:type="spellStart"/>
            <w:r w:rsidRPr="00A45629">
              <w:rPr>
                <w:sz w:val="16"/>
                <w:szCs w:val="16"/>
                <w:lang w:val="en-US"/>
              </w:rPr>
              <w:t>Australien</w:t>
            </w:r>
            <w:proofErr w:type="spellEnd"/>
          </w:p>
        </w:tc>
        <w:tc>
          <w:tcPr>
            <w:tcW w:w="2196" w:type="dxa"/>
            <w:shd w:val="clear" w:color="auto" w:fill="E2EFD9" w:themeFill="accent6" w:themeFillTint="33"/>
          </w:tcPr>
          <w:p w14:paraId="12F1DDB0" w14:textId="77777777" w:rsidR="007A7F9F" w:rsidRPr="00A45629" w:rsidRDefault="007A7F9F" w:rsidP="00787850">
            <w:pPr>
              <w:rPr>
                <w:sz w:val="16"/>
                <w:szCs w:val="16"/>
                <w:lang w:val="en-US"/>
              </w:rPr>
            </w:pPr>
            <w:r w:rsidRPr="00A45629">
              <w:rPr>
                <w:sz w:val="16"/>
                <w:szCs w:val="16"/>
              </w:rPr>
              <w:t>Universität</w:t>
            </w:r>
          </w:p>
        </w:tc>
        <w:tc>
          <w:tcPr>
            <w:tcW w:w="2196" w:type="dxa"/>
            <w:shd w:val="clear" w:color="auto" w:fill="E2EFD9" w:themeFill="accent6" w:themeFillTint="33"/>
          </w:tcPr>
          <w:p w14:paraId="63D26674" w14:textId="77777777" w:rsidR="007A7F9F" w:rsidRPr="00A45629" w:rsidRDefault="007A7F9F" w:rsidP="00787850">
            <w:pPr>
              <w:rPr>
                <w:sz w:val="16"/>
                <w:szCs w:val="16"/>
              </w:rPr>
            </w:pPr>
            <w:r w:rsidRPr="00A45629">
              <w:rPr>
                <w:sz w:val="16"/>
                <w:szCs w:val="16"/>
              </w:rPr>
              <w:t>Minimalinvasive Zahnheilkunde für die alternde Bevölkerung</w:t>
            </w:r>
          </w:p>
        </w:tc>
      </w:tr>
      <w:tr w:rsidR="007A7F9F" w:rsidRPr="00A45629" w14:paraId="3E65A33E" w14:textId="77777777" w:rsidTr="007A7F9F">
        <w:trPr>
          <w:jc w:val="center"/>
        </w:trPr>
        <w:tc>
          <w:tcPr>
            <w:tcW w:w="2349" w:type="dxa"/>
            <w:shd w:val="clear" w:color="auto" w:fill="E2EFD9" w:themeFill="accent6" w:themeFillTint="33"/>
          </w:tcPr>
          <w:p w14:paraId="422ACB73" w14:textId="77777777" w:rsidR="007A7F9F" w:rsidRPr="00A45629" w:rsidRDefault="007A7F9F" w:rsidP="00787850">
            <w:pPr>
              <w:rPr>
                <w:sz w:val="16"/>
                <w:szCs w:val="16"/>
                <w:lang w:val="en-US"/>
              </w:rPr>
            </w:pPr>
            <w:r w:rsidRPr="00A45629">
              <w:rPr>
                <w:sz w:val="16"/>
                <w:szCs w:val="16"/>
                <w:lang w:val="en-US"/>
              </w:rPr>
              <w:t>Queen’s University Belfast</w:t>
            </w:r>
          </w:p>
        </w:tc>
        <w:tc>
          <w:tcPr>
            <w:tcW w:w="2321" w:type="dxa"/>
            <w:shd w:val="clear" w:color="auto" w:fill="E2EFD9" w:themeFill="accent6" w:themeFillTint="33"/>
          </w:tcPr>
          <w:p w14:paraId="7ECBD4D6" w14:textId="77777777" w:rsidR="007A7F9F" w:rsidRPr="00A45629" w:rsidRDefault="007A7F9F" w:rsidP="00787850">
            <w:pPr>
              <w:rPr>
                <w:sz w:val="16"/>
                <w:szCs w:val="16"/>
                <w:lang w:val="en-US"/>
              </w:rPr>
            </w:pPr>
            <w:r w:rsidRPr="00A45629">
              <w:rPr>
                <w:sz w:val="16"/>
                <w:szCs w:val="16"/>
                <w:lang w:val="en-US"/>
              </w:rPr>
              <w:t>UK</w:t>
            </w:r>
          </w:p>
        </w:tc>
        <w:tc>
          <w:tcPr>
            <w:tcW w:w="2196" w:type="dxa"/>
            <w:shd w:val="clear" w:color="auto" w:fill="E2EFD9" w:themeFill="accent6" w:themeFillTint="33"/>
          </w:tcPr>
          <w:p w14:paraId="6CB122AE" w14:textId="77777777" w:rsidR="007A7F9F" w:rsidRPr="00A45629" w:rsidRDefault="007A7F9F" w:rsidP="00787850">
            <w:pPr>
              <w:rPr>
                <w:sz w:val="16"/>
                <w:szCs w:val="16"/>
                <w:lang w:val="en-US"/>
              </w:rPr>
            </w:pPr>
            <w:r w:rsidRPr="00A45629">
              <w:rPr>
                <w:sz w:val="16"/>
                <w:szCs w:val="16"/>
              </w:rPr>
              <w:t>Universität</w:t>
            </w:r>
          </w:p>
        </w:tc>
        <w:tc>
          <w:tcPr>
            <w:tcW w:w="2196" w:type="dxa"/>
            <w:shd w:val="clear" w:color="auto" w:fill="E2EFD9" w:themeFill="accent6" w:themeFillTint="33"/>
          </w:tcPr>
          <w:p w14:paraId="628C60AC" w14:textId="77777777" w:rsidR="007A7F9F" w:rsidRPr="00A45629" w:rsidRDefault="007A7F9F" w:rsidP="00787850">
            <w:pPr>
              <w:rPr>
                <w:sz w:val="16"/>
                <w:szCs w:val="16"/>
              </w:rPr>
            </w:pPr>
            <w:r w:rsidRPr="00A45629">
              <w:rPr>
                <w:sz w:val="16"/>
                <w:szCs w:val="16"/>
              </w:rPr>
              <w:t>Mundgesundheit für die alternde Bevölkerung</w:t>
            </w:r>
          </w:p>
        </w:tc>
      </w:tr>
      <w:tr w:rsidR="007A7F9F" w:rsidRPr="00A45629" w14:paraId="4120803F" w14:textId="77777777" w:rsidTr="007A7F9F">
        <w:trPr>
          <w:jc w:val="center"/>
        </w:trPr>
        <w:tc>
          <w:tcPr>
            <w:tcW w:w="2349" w:type="dxa"/>
            <w:shd w:val="clear" w:color="auto" w:fill="E2EFD9" w:themeFill="accent6" w:themeFillTint="33"/>
          </w:tcPr>
          <w:p w14:paraId="5C34458F" w14:textId="77777777" w:rsidR="007A7F9F" w:rsidRPr="00A45629" w:rsidRDefault="007A7F9F" w:rsidP="00787850">
            <w:pPr>
              <w:rPr>
                <w:sz w:val="16"/>
                <w:szCs w:val="16"/>
                <w:lang w:val="en-US"/>
              </w:rPr>
            </w:pPr>
            <w:r w:rsidRPr="00A45629">
              <w:rPr>
                <w:sz w:val="16"/>
                <w:szCs w:val="16"/>
                <w:lang w:val="en-US"/>
              </w:rPr>
              <w:t xml:space="preserve">University of Berne Division of </w:t>
            </w:r>
            <w:proofErr w:type="spellStart"/>
            <w:r w:rsidRPr="00A45629">
              <w:rPr>
                <w:sz w:val="16"/>
                <w:szCs w:val="16"/>
                <w:lang w:val="en-US"/>
              </w:rPr>
              <w:t>Gerodontology</w:t>
            </w:r>
            <w:proofErr w:type="spellEnd"/>
            <w:r w:rsidRPr="00A45629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45629">
              <w:rPr>
                <w:sz w:val="16"/>
                <w:szCs w:val="16"/>
                <w:lang w:val="en-US"/>
              </w:rPr>
              <w:t>zmk</w:t>
            </w:r>
            <w:proofErr w:type="spellEnd"/>
            <w:r w:rsidRPr="00A45629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45629">
              <w:rPr>
                <w:sz w:val="16"/>
                <w:szCs w:val="16"/>
                <w:lang w:val="en-US"/>
              </w:rPr>
              <w:t>bern</w:t>
            </w:r>
            <w:proofErr w:type="spellEnd"/>
          </w:p>
        </w:tc>
        <w:tc>
          <w:tcPr>
            <w:tcW w:w="2321" w:type="dxa"/>
            <w:shd w:val="clear" w:color="auto" w:fill="E2EFD9" w:themeFill="accent6" w:themeFillTint="33"/>
          </w:tcPr>
          <w:p w14:paraId="5C5D5617" w14:textId="77777777" w:rsidR="007A7F9F" w:rsidRPr="00A45629" w:rsidRDefault="007A7F9F" w:rsidP="00787850">
            <w:pPr>
              <w:rPr>
                <w:sz w:val="16"/>
                <w:szCs w:val="16"/>
                <w:lang w:val="en-US"/>
              </w:rPr>
            </w:pPr>
            <w:r w:rsidRPr="00A45629">
              <w:rPr>
                <w:sz w:val="16"/>
                <w:szCs w:val="16"/>
                <w:lang w:val="en-US"/>
              </w:rPr>
              <w:t>Schweiz</w:t>
            </w:r>
          </w:p>
        </w:tc>
        <w:tc>
          <w:tcPr>
            <w:tcW w:w="2196" w:type="dxa"/>
            <w:shd w:val="clear" w:color="auto" w:fill="E2EFD9" w:themeFill="accent6" w:themeFillTint="33"/>
          </w:tcPr>
          <w:p w14:paraId="03BC93B7" w14:textId="77777777" w:rsidR="007A7F9F" w:rsidRPr="00A45629" w:rsidRDefault="007A7F9F" w:rsidP="00787850">
            <w:pPr>
              <w:rPr>
                <w:sz w:val="16"/>
                <w:szCs w:val="16"/>
                <w:lang w:val="en-US"/>
              </w:rPr>
            </w:pPr>
            <w:r w:rsidRPr="00A45629">
              <w:rPr>
                <w:sz w:val="16"/>
                <w:szCs w:val="16"/>
              </w:rPr>
              <w:t>Universität</w:t>
            </w:r>
          </w:p>
        </w:tc>
        <w:tc>
          <w:tcPr>
            <w:tcW w:w="2196" w:type="dxa"/>
            <w:shd w:val="clear" w:color="auto" w:fill="E2EFD9" w:themeFill="accent6" w:themeFillTint="33"/>
          </w:tcPr>
          <w:p w14:paraId="747B8169" w14:textId="77777777" w:rsidR="007A7F9F" w:rsidRPr="00A45629" w:rsidRDefault="007A7F9F" w:rsidP="00787850">
            <w:pPr>
              <w:rPr>
                <w:sz w:val="16"/>
                <w:szCs w:val="16"/>
              </w:rPr>
            </w:pPr>
            <w:r w:rsidRPr="00A45629">
              <w:rPr>
                <w:sz w:val="16"/>
                <w:szCs w:val="16"/>
              </w:rPr>
              <w:t>Mundgesundheit für die alternde Bevölkerung - orale Fragilität</w:t>
            </w:r>
          </w:p>
        </w:tc>
      </w:tr>
    </w:tbl>
    <w:p w14:paraId="37C0F2D2" w14:textId="4C73AAB8" w:rsidR="00385F73" w:rsidRPr="00BA5049" w:rsidRDefault="00385F73" w:rsidP="00D93C30">
      <w:pPr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de-DE"/>
        </w:rPr>
      </w:pPr>
    </w:p>
    <w:p w14:paraId="4402531C" w14:textId="69EEA926" w:rsidR="00166FE4" w:rsidRPr="00BA5049" w:rsidRDefault="00BA5049" w:rsidP="00D2458F">
      <w:pPr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de-DE"/>
        </w:rPr>
      </w:pPr>
      <w:r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de-DE"/>
        </w:rPr>
        <w:t>Neben</w:t>
      </w:r>
      <w:r w:rsidR="00166FE4" w:rsidRPr="00BA5049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de-DE"/>
        </w:rPr>
        <w:t xml:space="preserve"> diesen </w:t>
      </w:r>
      <w:r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de-DE"/>
        </w:rPr>
        <w:t>sechs</w:t>
      </w:r>
      <w:r w:rsidR="00166FE4" w:rsidRPr="00BA5049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de-DE"/>
        </w:rPr>
        <w:t xml:space="preserve"> Universitäten unterstützt die </w:t>
      </w:r>
      <w:proofErr w:type="spellStart"/>
      <w:r w:rsidR="00166FE4" w:rsidRPr="00BA5049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de-DE"/>
        </w:rPr>
        <w:t>Foundation</w:t>
      </w:r>
      <w:proofErr w:type="spellEnd"/>
      <w:r w:rsidR="00166FE4" w:rsidRPr="00BA5049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de-DE"/>
        </w:rPr>
        <w:t xml:space="preserve"> auch zwei </w:t>
      </w:r>
      <w:r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de-DE"/>
        </w:rPr>
        <w:t xml:space="preserve">weitere </w:t>
      </w:r>
      <w:r w:rsidR="00166FE4" w:rsidRPr="00BA5049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de-DE"/>
        </w:rPr>
        <w:t>Forschungsprojekte</w:t>
      </w:r>
      <w:r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de-DE"/>
        </w:rPr>
        <w:t>:</w:t>
      </w:r>
    </w:p>
    <w:p w14:paraId="70D336FF" w14:textId="5B1F2E9C" w:rsidR="00F02E13" w:rsidRPr="00BA5049" w:rsidRDefault="00F02E13" w:rsidP="00D2458F">
      <w:pPr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de-DE"/>
        </w:rPr>
      </w:pPr>
    </w:p>
    <w:p w14:paraId="3C844A2C" w14:textId="77777777" w:rsidR="00562DFB" w:rsidRDefault="00562DFB" w:rsidP="00D2458F">
      <w:pPr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de-DE"/>
        </w:rPr>
      </w:pPr>
    </w:p>
    <w:p w14:paraId="1FD28622" w14:textId="2012DCFF" w:rsidR="00562DFB" w:rsidRDefault="00562DFB" w:rsidP="00D2458F">
      <w:pPr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de-DE"/>
        </w:rPr>
      </w:pPr>
    </w:p>
    <w:tbl>
      <w:tblPr>
        <w:tblStyle w:val="Tabellenraster"/>
        <w:tblW w:w="9067" w:type="dxa"/>
        <w:jc w:val="center"/>
        <w:tblLook w:val="04A0" w:firstRow="1" w:lastRow="0" w:firstColumn="1" w:lastColumn="0" w:noHBand="0" w:noVBand="1"/>
      </w:tblPr>
      <w:tblGrid>
        <w:gridCol w:w="2830"/>
        <w:gridCol w:w="1840"/>
        <w:gridCol w:w="4397"/>
      </w:tblGrid>
      <w:tr w:rsidR="00562DFB" w14:paraId="4D592149" w14:textId="77777777" w:rsidTr="00562DFB">
        <w:trPr>
          <w:jc w:val="center"/>
        </w:trPr>
        <w:tc>
          <w:tcPr>
            <w:tcW w:w="2830" w:type="dxa"/>
            <w:shd w:val="clear" w:color="auto" w:fill="DEEAF6" w:themeFill="accent5" w:themeFillTint="33"/>
          </w:tcPr>
          <w:p w14:paraId="3D77B220" w14:textId="77777777" w:rsidR="00562DFB" w:rsidRPr="00A45629" w:rsidRDefault="00562DFB" w:rsidP="00787850">
            <w:pPr>
              <w:rPr>
                <w:b/>
                <w:bCs/>
              </w:rPr>
            </w:pPr>
            <w:r>
              <w:rPr>
                <w:b/>
                <w:bCs/>
              </w:rPr>
              <w:t>Projektname</w:t>
            </w:r>
          </w:p>
        </w:tc>
        <w:tc>
          <w:tcPr>
            <w:tcW w:w="1840" w:type="dxa"/>
            <w:shd w:val="clear" w:color="auto" w:fill="DEEAF6" w:themeFill="accent5" w:themeFillTint="33"/>
          </w:tcPr>
          <w:p w14:paraId="33F94533" w14:textId="77777777" w:rsidR="00562DFB" w:rsidRPr="00A45629" w:rsidRDefault="00562DFB" w:rsidP="00787850">
            <w:pPr>
              <w:rPr>
                <w:b/>
                <w:bCs/>
              </w:rPr>
            </w:pPr>
            <w:r>
              <w:rPr>
                <w:b/>
                <w:bCs/>
              </w:rPr>
              <w:t>Lehrstuhl</w:t>
            </w:r>
          </w:p>
        </w:tc>
        <w:tc>
          <w:tcPr>
            <w:tcW w:w="4397" w:type="dxa"/>
            <w:shd w:val="clear" w:color="auto" w:fill="DEEAF6" w:themeFill="accent5" w:themeFillTint="33"/>
          </w:tcPr>
          <w:p w14:paraId="7CE08B9E" w14:textId="77777777" w:rsidR="00562DFB" w:rsidRPr="00A45629" w:rsidRDefault="00562DFB" w:rsidP="00787850">
            <w:pPr>
              <w:rPr>
                <w:b/>
                <w:bCs/>
              </w:rPr>
            </w:pPr>
            <w:r>
              <w:rPr>
                <w:b/>
                <w:bCs/>
              </w:rPr>
              <w:t>Kurzbeschreibung</w:t>
            </w:r>
          </w:p>
        </w:tc>
      </w:tr>
      <w:tr w:rsidR="00562DFB" w:rsidRPr="00562DFB" w14:paraId="0892B47D" w14:textId="77777777" w:rsidTr="00562DFB">
        <w:trPr>
          <w:jc w:val="center"/>
        </w:trPr>
        <w:tc>
          <w:tcPr>
            <w:tcW w:w="2830" w:type="dxa"/>
            <w:shd w:val="clear" w:color="auto" w:fill="E2EFD9" w:themeFill="accent6" w:themeFillTint="33"/>
          </w:tcPr>
          <w:p w14:paraId="6F5ED525" w14:textId="77777777" w:rsidR="00562DFB" w:rsidRPr="00A45629" w:rsidRDefault="00562DFB" w:rsidP="007878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</w:t>
            </w:r>
            <w:r w:rsidRPr="00A45629">
              <w:rPr>
                <w:sz w:val="16"/>
                <w:szCs w:val="16"/>
              </w:rPr>
              <w:t>ie man Zahnärzte bei der Auswahl geeigneter Restaurationsmaterialien unterstützt</w:t>
            </w:r>
          </w:p>
        </w:tc>
        <w:tc>
          <w:tcPr>
            <w:tcW w:w="1840" w:type="dxa"/>
            <w:shd w:val="clear" w:color="auto" w:fill="E2EFD9" w:themeFill="accent6" w:themeFillTint="33"/>
          </w:tcPr>
          <w:p w14:paraId="2423CE4D" w14:textId="77777777" w:rsidR="00562DFB" w:rsidRPr="00A45629" w:rsidRDefault="00562DFB" w:rsidP="00787850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Prof. Reinhard Hickel</w:t>
            </w:r>
          </w:p>
        </w:tc>
        <w:tc>
          <w:tcPr>
            <w:tcW w:w="4397" w:type="dxa"/>
            <w:shd w:val="clear" w:color="auto" w:fill="E2EFD9" w:themeFill="accent6" w:themeFillTint="33"/>
          </w:tcPr>
          <w:p w14:paraId="0CAE1C25" w14:textId="77777777" w:rsidR="00562DFB" w:rsidRPr="00A45629" w:rsidRDefault="00562DFB" w:rsidP="007878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</w:t>
            </w:r>
            <w:r w:rsidRPr="00A45629">
              <w:rPr>
                <w:sz w:val="16"/>
                <w:szCs w:val="16"/>
              </w:rPr>
              <w:t xml:space="preserve">ntwicklung eines </w:t>
            </w:r>
            <w:r>
              <w:rPr>
                <w:sz w:val="16"/>
                <w:szCs w:val="16"/>
              </w:rPr>
              <w:t>E</w:t>
            </w:r>
            <w:r w:rsidRPr="00A45629">
              <w:rPr>
                <w:sz w:val="16"/>
                <w:szCs w:val="16"/>
              </w:rPr>
              <w:t xml:space="preserve">ntscheidungsbaums für </w:t>
            </w:r>
            <w:r>
              <w:rPr>
                <w:sz w:val="16"/>
                <w:szCs w:val="16"/>
              </w:rPr>
              <w:t>Z</w:t>
            </w:r>
            <w:r w:rsidRPr="00A45629">
              <w:rPr>
                <w:sz w:val="16"/>
                <w:szCs w:val="16"/>
              </w:rPr>
              <w:t xml:space="preserve">ahnärzte zur </w:t>
            </w:r>
            <w:r>
              <w:rPr>
                <w:sz w:val="16"/>
                <w:szCs w:val="16"/>
              </w:rPr>
              <w:t>U</w:t>
            </w:r>
            <w:r w:rsidRPr="00A45629">
              <w:rPr>
                <w:sz w:val="16"/>
                <w:szCs w:val="16"/>
              </w:rPr>
              <w:t xml:space="preserve">nterstützung der </w:t>
            </w:r>
            <w:r>
              <w:rPr>
                <w:sz w:val="16"/>
                <w:szCs w:val="16"/>
              </w:rPr>
              <w:t>E</w:t>
            </w:r>
            <w:r w:rsidRPr="00A45629">
              <w:rPr>
                <w:sz w:val="16"/>
                <w:szCs w:val="16"/>
              </w:rPr>
              <w:t xml:space="preserve">ntscheidungsfindung für die </w:t>
            </w:r>
            <w:r>
              <w:rPr>
                <w:sz w:val="16"/>
                <w:szCs w:val="16"/>
              </w:rPr>
              <w:t>A</w:t>
            </w:r>
            <w:r w:rsidRPr="00A45629">
              <w:rPr>
                <w:sz w:val="16"/>
                <w:szCs w:val="16"/>
              </w:rPr>
              <w:t xml:space="preserve">uswahl des idealen </w:t>
            </w:r>
            <w:r>
              <w:rPr>
                <w:sz w:val="16"/>
                <w:szCs w:val="16"/>
              </w:rPr>
              <w:t>W</w:t>
            </w:r>
            <w:r w:rsidRPr="00A45629">
              <w:rPr>
                <w:sz w:val="16"/>
                <w:szCs w:val="16"/>
              </w:rPr>
              <w:t xml:space="preserve">erkstoffs zum </w:t>
            </w:r>
            <w:r>
              <w:rPr>
                <w:sz w:val="16"/>
                <w:szCs w:val="16"/>
              </w:rPr>
              <w:t>E</w:t>
            </w:r>
            <w:r w:rsidRPr="00A45629">
              <w:rPr>
                <w:sz w:val="16"/>
                <w:szCs w:val="16"/>
              </w:rPr>
              <w:t xml:space="preserve">rsatz von dentalem </w:t>
            </w:r>
            <w:r>
              <w:rPr>
                <w:sz w:val="16"/>
                <w:szCs w:val="16"/>
              </w:rPr>
              <w:t>A</w:t>
            </w:r>
            <w:r w:rsidRPr="00A45629">
              <w:rPr>
                <w:sz w:val="16"/>
                <w:szCs w:val="16"/>
              </w:rPr>
              <w:t>malgam</w:t>
            </w:r>
          </w:p>
          <w:p w14:paraId="0E7A6573" w14:textId="77777777" w:rsidR="00562DFB" w:rsidRPr="00A45629" w:rsidRDefault="00562DFB" w:rsidP="00787850">
            <w:pPr>
              <w:rPr>
                <w:sz w:val="16"/>
                <w:szCs w:val="16"/>
              </w:rPr>
            </w:pPr>
          </w:p>
        </w:tc>
      </w:tr>
      <w:tr w:rsidR="00562DFB" w:rsidRPr="00562DFB" w14:paraId="5CC95056" w14:textId="77777777" w:rsidTr="00562DFB">
        <w:trPr>
          <w:trHeight w:val="460"/>
          <w:jc w:val="center"/>
        </w:trPr>
        <w:tc>
          <w:tcPr>
            <w:tcW w:w="2830" w:type="dxa"/>
            <w:shd w:val="clear" w:color="auto" w:fill="E2EFD9" w:themeFill="accent6" w:themeFillTint="33"/>
          </w:tcPr>
          <w:p w14:paraId="7F22CC5D" w14:textId="77777777" w:rsidR="00562DFB" w:rsidRPr="00A45629" w:rsidRDefault="00562DFB" w:rsidP="007878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Internationale Gesellschaft für Minimalinvasive Zahnheilkunde (MIS)</w:t>
            </w:r>
          </w:p>
        </w:tc>
        <w:tc>
          <w:tcPr>
            <w:tcW w:w="1840" w:type="dxa"/>
            <w:shd w:val="clear" w:color="auto" w:fill="E2EFD9" w:themeFill="accent6" w:themeFillTint="33"/>
          </w:tcPr>
          <w:p w14:paraId="75070B63" w14:textId="77777777" w:rsidR="00562DFB" w:rsidRPr="00A45629" w:rsidRDefault="00562DFB" w:rsidP="007878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Prof. Elmar Reich</w:t>
            </w:r>
          </w:p>
        </w:tc>
        <w:tc>
          <w:tcPr>
            <w:tcW w:w="4397" w:type="dxa"/>
            <w:shd w:val="clear" w:color="auto" w:fill="E2EFD9" w:themeFill="accent6" w:themeFillTint="33"/>
          </w:tcPr>
          <w:p w14:paraId="2A4CBBB1" w14:textId="77777777" w:rsidR="00562DFB" w:rsidRPr="00A45629" w:rsidRDefault="00562DFB" w:rsidP="00787850">
            <w:pPr>
              <w:rPr>
                <w:sz w:val="16"/>
                <w:szCs w:val="16"/>
              </w:rPr>
            </w:pPr>
            <w:r w:rsidRPr="00A45629">
              <w:rPr>
                <w:sz w:val="16"/>
                <w:szCs w:val="16"/>
              </w:rPr>
              <w:t>Hauptziel der Gesellschaft ist es, Forschung und Bildung zu unterstützen, die Mundgesundheit zu fördern, um Zähne zu retten und die Mundgesundheit zu verbessern, und die internationale Gesundheitspolitik zu beeinflussen</w:t>
            </w:r>
          </w:p>
        </w:tc>
      </w:tr>
    </w:tbl>
    <w:p w14:paraId="4AC9053B" w14:textId="77777777" w:rsidR="00562DFB" w:rsidRDefault="00562DFB" w:rsidP="00D2458F">
      <w:pPr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de-DE"/>
        </w:rPr>
      </w:pPr>
    </w:p>
    <w:p w14:paraId="7AB01784" w14:textId="0EB4D7D7" w:rsidR="00166FE4" w:rsidRPr="00BA5049" w:rsidRDefault="00166FE4" w:rsidP="00D2458F">
      <w:pPr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de-DE"/>
        </w:rPr>
      </w:pPr>
      <w:r w:rsidRPr="00BA5049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de-DE"/>
        </w:rPr>
        <w:t xml:space="preserve">Die </w:t>
      </w:r>
      <w:r w:rsidR="00BA5049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de-DE"/>
        </w:rPr>
        <w:t xml:space="preserve">Bewerbungsfrist </w:t>
      </w:r>
      <w:r w:rsidRPr="00BA5049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de-DE"/>
        </w:rPr>
        <w:t xml:space="preserve">für den 2. </w:t>
      </w:r>
      <w:proofErr w:type="spellStart"/>
      <w:r w:rsidRPr="00BA5049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de-DE"/>
        </w:rPr>
        <w:t>Foundation</w:t>
      </w:r>
      <w:proofErr w:type="spellEnd"/>
      <w:r w:rsidRPr="00BA5049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de-DE"/>
        </w:rPr>
        <w:t xml:space="preserve"> Grant-Antrag </w:t>
      </w:r>
      <w:r w:rsidR="00BA5049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de-DE"/>
        </w:rPr>
        <w:t xml:space="preserve">läuft seit </w:t>
      </w:r>
      <w:r w:rsidRPr="00BA5049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de-DE"/>
        </w:rPr>
        <w:t xml:space="preserve">28. September 2020 </w:t>
      </w:r>
      <w:r w:rsidR="00FA46F0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de-DE"/>
        </w:rPr>
        <w:t>und endet am</w:t>
      </w:r>
      <w:r w:rsidRPr="00BA5049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de-DE"/>
        </w:rPr>
        <w:t xml:space="preserve"> 11. Dezember 2020. Die Gewinner des </w:t>
      </w:r>
      <w:proofErr w:type="spellStart"/>
      <w:r w:rsidRPr="00BA5049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de-DE"/>
        </w:rPr>
        <w:t>Foundation</w:t>
      </w:r>
      <w:proofErr w:type="spellEnd"/>
      <w:r w:rsidRPr="00BA5049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de-DE"/>
        </w:rPr>
        <w:t xml:space="preserve"> Grant für das Jahr 2020 werden auf der 2. Vorstands- und Stiftungsratssitzung im kommenden Frühjahr </w:t>
      </w:r>
      <w:r w:rsidR="006D74DD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de-DE"/>
        </w:rPr>
        <w:t>ausgewählt.</w:t>
      </w:r>
    </w:p>
    <w:p w14:paraId="51033C37" w14:textId="168CF337" w:rsidR="00166FE4" w:rsidRPr="00BA5049" w:rsidRDefault="00166FE4" w:rsidP="00166FE4">
      <w:pPr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de-DE"/>
        </w:rPr>
      </w:pPr>
      <w:r w:rsidRPr="00BA5049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de-DE"/>
        </w:rPr>
        <w:t>Wir freuen uns auf viele Anträge</w:t>
      </w:r>
      <w:r w:rsidR="00BA5049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de-DE"/>
        </w:rPr>
        <w:t xml:space="preserve"> </w:t>
      </w:r>
      <w:r w:rsidR="006D74DD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de-DE"/>
        </w:rPr>
        <w:t xml:space="preserve">aus allen Ländern </w:t>
      </w:r>
      <w:r w:rsidR="00BA5049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de-DE"/>
        </w:rPr>
        <w:t>für den</w:t>
      </w:r>
      <w:r w:rsidRPr="00BA5049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de-DE"/>
        </w:rPr>
        <w:t xml:space="preserve"> </w:t>
      </w:r>
      <w:proofErr w:type="spellStart"/>
      <w:r w:rsidRPr="00BA5049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de-DE"/>
        </w:rPr>
        <w:t>Foundation</w:t>
      </w:r>
      <w:proofErr w:type="spellEnd"/>
      <w:r w:rsidRPr="00BA5049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de-DE"/>
        </w:rPr>
        <w:t xml:space="preserve"> </w:t>
      </w:r>
      <w:proofErr w:type="spellStart"/>
      <w:r w:rsidRPr="00BA5049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de-DE"/>
        </w:rPr>
        <w:t>Nakao</w:t>
      </w:r>
      <w:proofErr w:type="spellEnd"/>
      <w:r w:rsidR="006D74DD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de-DE"/>
        </w:rPr>
        <w:t xml:space="preserve"> Grant.</w:t>
      </w:r>
    </w:p>
    <w:p w14:paraId="24F2768A" w14:textId="582B9CAE" w:rsidR="00166FE4" w:rsidRPr="00BA5049" w:rsidRDefault="00166FE4" w:rsidP="00166FE4">
      <w:pPr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de-DE"/>
        </w:rPr>
      </w:pPr>
    </w:p>
    <w:p w14:paraId="237B4C4E" w14:textId="04BA6261" w:rsidR="00166FE4" w:rsidRPr="00BA5049" w:rsidRDefault="00166FE4" w:rsidP="00166FE4">
      <w:pPr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de-DE"/>
        </w:rPr>
      </w:pPr>
      <w:r w:rsidRPr="00BA5049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de-DE"/>
        </w:rPr>
        <w:t xml:space="preserve">Informationen über die Aktivitäten der Stiftung und die Beantragung des </w:t>
      </w:r>
      <w:proofErr w:type="spellStart"/>
      <w:r w:rsidRPr="00BA5049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de-DE"/>
        </w:rPr>
        <w:t>Foundation</w:t>
      </w:r>
      <w:proofErr w:type="spellEnd"/>
      <w:r w:rsidRPr="00BA5049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de-DE"/>
        </w:rPr>
        <w:t xml:space="preserve"> </w:t>
      </w:r>
      <w:proofErr w:type="spellStart"/>
      <w:r w:rsidRPr="00BA5049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de-DE"/>
        </w:rPr>
        <w:t>Nakao</w:t>
      </w:r>
      <w:proofErr w:type="spellEnd"/>
      <w:r w:rsidRPr="00BA5049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de-DE"/>
        </w:rPr>
        <w:t xml:space="preserve"> Grant finden Sie auf der Website der Stiftung.</w:t>
      </w:r>
    </w:p>
    <w:p w14:paraId="474C5792" w14:textId="77777777" w:rsidR="00882CC5" w:rsidRPr="00BA5049" w:rsidRDefault="00882CC5" w:rsidP="00D2458F">
      <w:pPr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de-DE"/>
        </w:rPr>
      </w:pPr>
    </w:p>
    <w:p w14:paraId="66B4194F" w14:textId="4FB0C5D9" w:rsidR="00882CC5" w:rsidRPr="00166FE4" w:rsidRDefault="00882CC5" w:rsidP="00882CC5">
      <w:pPr>
        <w:jc w:val="right"/>
        <w:rPr>
          <w:rFonts w:ascii="Times New Roman" w:hAnsi="Times New Roman" w:cs="Times New Roman"/>
          <w:sz w:val="24"/>
          <w:szCs w:val="24"/>
          <w:lang w:val="de-DE"/>
        </w:rPr>
      </w:pPr>
      <w:bookmarkStart w:id="0" w:name="_GoBack"/>
      <w:bookmarkEnd w:id="0"/>
    </w:p>
    <w:sectPr w:rsidR="00882CC5" w:rsidRPr="00166FE4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B5340C" w14:textId="77777777" w:rsidR="00BB55E9" w:rsidRDefault="00BB55E9" w:rsidP="00255718">
      <w:pPr>
        <w:spacing w:after="0" w:line="240" w:lineRule="auto"/>
      </w:pPr>
      <w:r>
        <w:separator/>
      </w:r>
    </w:p>
  </w:endnote>
  <w:endnote w:type="continuationSeparator" w:id="0">
    <w:p w14:paraId="5CF1CF08" w14:textId="77777777" w:rsidR="00BB55E9" w:rsidRDefault="00BB55E9" w:rsidP="002557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Yu Mincho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72 Light">
    <w:altName w:val="Calibri"/>
    <w:panose1 w:val="020B0303030000000003"/>
    <w:charset w:val="00"/>
    <w:family w:val="swiss"/>
    <w:pitch w:val="variable"/>
    <w:sig w:usb0="A00002EF" w:usb1="5000205B" w:usb2="00000008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2F02A3" w14:textId="77777777" w:rsidR="00BB55E9" w:rsidRDefault="00BB55E9" w:rsidP="00255718">
      <w:pPr>
        <w:spacing w:after="0" w:line="240" w:lineRule="auto"/>
      </w:pPr>
      <w:r>
        <w:separator/>
      </w:r>
    </w:p>
  </w:footnote>
  <w:footnote w:type="continuationSeparator" w:id="0">
    <w:p w14:paraId="5027EE8E" w14:textId="77777777" w:rsidR="00BB55E9" w:rsidRDefault="00BB55E9" w:rsidP="002557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5972A4" w14:textId="1CEB121A" w:rsidR="00255718" w:rsidRDefault="00255718">
    <w:pPr>
      <w:pStyle w:val="Kopfzeile"/>
    </w:pPr>
    <w:r>
      <w:rPr>
        <w:rFonts w:hint="eastAsia"/>
      </w:rPr>
      <w:t xml:space="preserve">　　　　　　　　　　　　　　　　　　　　　　　　　　　　　　　　　　　　　</w:t>
    </w:r>
    <w:r w:rsidR="00166FE4">
      <w:rPr>
        <w:noProof/>
        <w:lang w:val="de-DE" w:eastAsia="de-DE"/>
      </w:rPr>
      <w:drawing>
        <wp:inline distT="0" distB="0" distL="0" distR="0" wp14:anchorId="01222B51" wp14:editId="16E47AED">
          <wp:extent cx="886578" cy="551180"/>
          <wp:effectExtent l="0" t="0" r="8890" b="127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578" cy="5511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hint="eastAsia"/>
      </w:rPr>
      <w:t xml:space="preserve">　　　　　　　　　　　　　　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58F"/>
    <w:rsid w:val="00166FE4"/>
    <w:rsid w:val="001740A2"/>
    <w:rsid w:val="0018105F"/>
    <w:rsid w:val="001956BB"/>
    <w:rsid w:val="001C3FA4"/>
    <w:rsid w:val="001D1A6E"/>
    <w:rsid w:val="002131E4"/>
    <w:rsid w:val="002370DF"/>
    <w:rsid w:val="00255718"/>
    <w:rsid w:val="002F54F2"/>
    <w:rsid w:val="0032670C"/>
    <w:rsid w:val="0038176E"/>
    <w:rsid w:val="00385F73"/>
    <w:rsid w:val="003B58BA"/>
    <w:rsid w:val="004D0FE2"/>
    <w:rsid w:val="004F2A52"/>
    <w:rsid w:val="005376C8"/>
    <w:rsid w:val="00562DFB"/>
    <w:rsid w:val="005A0497"/>
    <w:rsid w:val="00637851"/>
    <w:rsid w:val="006D74DD"/>
    <w:rsid w:val="006D7A60"/>
    <w:rsid w:val="007440E3"/>
    <w:rsid w:val="007A4F95"/>
    <w:rsid w:val="007A6E84"/>
    <w:rsid w:val="007A7F9F"/>
    <w:rsid w:val="00820986"/>
    <w:rsid w:val="008227B3"/>
    <w:rsid w:val="00882CC5"/>
    <w:rsid w:val="009C6DAF"/>
    <w:rsid w:val="009E2837"/>
    <w:rsid w:val="00A925FC"/>
    <w:rsid w:val="00BA5049"/>
    <w:rsid w:val="00BB55E9"/>
    <w:rsid w:val="00BD4C4F"/>
    <w:rsid w:val="00C03CA4"/>
    <w:rsid w:val="00C81057"/>
    <w:rsid w:val="00CE6D3D"/>
    <w:rsid w:val="00D2458F"/>
    <w:rsid w:val="00D93C30"/>
    <w:rsid w:val="00E1128D"/>
    <w:rsid w:val="00EC1CD2"/>
    <w:rsid w:val="00F02E13"/>
    <w:rsid w:val="00FA46F0"/>
    <w:rsid w:val="00FC4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605DDFA"/>
  <w15:chartTrackingRefBased/>
  <w15:docId w15:val="{209C382C-F108-4C45-BCD8-877DB35B6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D24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mg">
    <w:name w:val="img"/>
    <w:basedOn w:val="Standard"/>
    <w:rsid w:val="00D24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255718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255718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2557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55718"/>
  </w:style>
  <w:style w:type="paragraph" w:styleId="Fuzeile">
    <w:name w:val="footer"/>
    <w:basedOn w:val="Standard"/>
    <w:link w:val="FuzeileZchn"/>
    <w:uiPriority w:val="99"/>
    <w:unhideWhenUsed/>
    <w:rsid w:val="002557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55718"/>
  </w:style>
  <w:style w:type="table" w:styleId="Tabellenraster">
    <w:name w:val="Table Grid"/>
    <w:basedOn w:val="NormaleTabelle"/>
    <w:uiPriority w:val="39"/>
    <w:rsid w:val="007A7F9F"/>
    <w:pPr>
      <w:spacing w:after="0" w:line="240" w:lineRule="auto"/>
    </w:pPr>
    <w:rPr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44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434</Words>
  <Characters>2741</Characters>
  <Application>Microsoft Office Word</Application>
  <DocSecurity>0</DocSecurity>
  <Lines>22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Mita, Joji</dc:creator>
  <cp:keywords/>
  <dc:description/>
  <cp:lastModifiedBy>Scherz, Julia</cp:lastModifiedBy>
  <cp:revision>4</cp:revision>
  <cp:lastPrinted>2020-10-28T12:40:00Z</cp:lastPrinted>
  <dcterms:created xsi:type="dcterms:W3CDTF">2020-11-10T11:00:00Z</dcterms:created>
  <dcterms:modified xsi:type="dcterms:W3CDTF">2020-12-16T10:35:00Z</dcterms:modified>
</cp:coreProperties>
</file>