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469B" w14:textId="77777777" w:rsidR="00B42843" w:rsidRDefault="0080581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74B58AB0" w14:textId="77777777" w:rsidR="00B42843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 w:color="404040"/>
        </w:rPr>
      </w:pPr>
    </w:p>
    <w:p w14:paraId="73966ECE" w14:textId="77777777" w:rsidR="00B42843" w:rsidRDefault="0080581C">
      <w:pPr>
        <w:pStyle w:val="BodyA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240645"/>
      <w:r>
        <w:rPr>
          <w:rFonts w:ascii="Verdana" w:hAnsi="Verdana"/>
          <w:color w:val="404040"/>
          <w:sz w:val="24"/>
          <w:szCs w:val="24"/>
          <w:u w:val="single" w:color="404040"/>
        </w:rPr>
        <w:t>G</w:t>
      </w:r>
      <w:bookmarkEnd w:id="0"/>
      <w:r>
        <w:rPr>
          <w:rFonts w:ascii="Verdana" w:hAnsi="Verdana"/>
          <w:color w:val="404040"/>
          <w:sz w:val="24"/>
          <w:szCs w:val="24"/>
          <w:u w:val="single" w:color="404040"/>
        </w:rPr>
        <w:t>2-BOND Universal from GC</w:t>
      </w:r>
    </w:p>
    <w:p w14:paraId="6D25D230" w14:textId="77777777" w:rsidR="00B42843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</w:p>
    <w:p w14:paraId="5EFD774B" w14:textId="77777777" w:rsidR="00B42843" w:rsidRDefault="0080581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12" w:lineRule="auto"/>
        <w:jc w:val="both"/>
        <w:rPr>
          <w:rFonts w:ascii="Verdana" w:eastAsia="Verdana" w:hAnsi="Verdana" w:cs="Verdana"/>
          <w:b/>
          <w:bCs/>
          <w:color w:val="464646"/>
          <w:sz w:val="28"/>
          <w:szCs w:val="28"/>
          <w:u w:color="464646"/>
        </w:rPr>
      </w:pPr>
      <w:r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Leading the way to a new standard in 2-bottle adhesive dentistry </w:t>
      </w:r>
    </w:p>
    <w:p w14:paraId="3CD65BD4" w14:textId="77777777" w:rsidR="00B42843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68D96DB" w14:textId="1AB19567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color w:val="464646"/>
          <w:u w:color="464646"/>
          <w:lang w:val="en-US"/>
        </w:rPr>
      </w:pPr>
      <w:r>
        <w:rPr>
          <w:rFonts w:ascii="Verdana" w:hAnsi="Verdana"/>
          <w:b/>
          <w:bCs/>
          <w:color w:val="464646"/>
          <w:u w:color="464646"/>
          <w:lang w:val="en-US"/>
        </w:rPr>
        <w:t xml:space="preserve">With over 1 billion composite restorations and a century of established expertise in dental materials, </w:t>
      </w:r>
      <w:bookmarkStart w:id="1" w:name="_Hlk57373875"/>
      <w:r>
        <w:rPr>
          <w:rFonts w:ascii="Verdana" w:hAnsi="Verdana"/>
          <w:b/>
          <w:bCs/>
          <w:color w:val="464646"/>
          <w:u w:color="464646"/>
          <w:lang w:val="en-US"/>
        </w:rPr>
        <w:t xml:space="preserve">GC is broadening its adhesive portfolio with G2-BOND Universal, a 2-bottle universal </w:t>
      </w:r>
      <w:bookmarkEnd w:id="1"/>
      <w:r>
        <w:rPr>
          <w:rFonts w:ascii="Verdana" w:hAnsi="Verdana"/>
          <w:b/>
          <w:bCs/>
          <w:color w:val="464646"/>
          <w:u w:color="464646"/>
          <w:lang w:val="en-US"/>
        </w:rPr>
        <w:t xml:space="preserve">bonding system which features exceptional properties in strength and versatility. GC leads the way with G2-BOND Universal and its proprietary Dual H-Technology to a new standard in adhesive dentistry, </w:t>
      </w:r>
      <w:bookmarkStart w:id="2" w:name="_Hlk57374138"/>
      <w:r>
        <w:rPr>
          <w:rFonts w:ascii="Verdana" w:hAnsi="Verdana"/>
          <w:b/>
          <w:bCs/>
          <w:color w:val="464646"/>
          <w:u w:color="464646"/>
          <w:lang w:val="en-US"/>
        </w:rPr>
        <w:t>giving clinicians what they would expect from existing self-etch and etch-and-rinse gold standard products, and much more.</w:t>
      </w:r>
    </w:p>
    <w:bookmarkEnd w:id="2"/>
    <w:p w14:paraId="00E103F0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lang w:val="en-US"/>
        </w:rPr>
      </w:pPr>
    </w:p>
    <w:p w14:paraId="5360C063" w14:textId="30BAF4E0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464646"/>
          <w:u w:color="464646"/>
          <w:lang w:val="en-US"/>
        </w:rPr>
      </w:pPr>
      <w:r>
        <w:rPr>
          <w:rFonts w:ascii="Verdana" w:hAnsi="Verdana"/>
          <w:color w:val="464646"/>
          <w:u w:color="464646"/>
          <w:lang w:val="en-US"/>
        </w:rPr>
        <w:t>T</w:t>
      </w:r>
      <w:bookmarkStart w:id="3" w:name="_Hlk57372522"/>
      <w:r>
        <w:rPr>
          <w:rFonts w:ascii="Verdana" w:hAnsi="Verdana"/>
          <w:color w:val="464646"/>
          <w:u w:color="464646"/>
          <w:lang w:val="en-US"/>
        </w:rPr>
        <w:t>h</w:t>
      </w:r>
      <w:bookmarkStart w:id="4" w:name="_Hlk57374523"/>
      <w:bookmarkEnd w:id="3"/>
      <w:r>
        <w:rPr>
          <w:rFonts w:ascii="Verdana" w:hAnsi="Verdana"/>
          <w:color w:val="464646"/>
          <w:u w:color="464646"/>
          <w:lang w:val="en-US"/>
        </w:rPr>
        <w:t xml:space="preserve">e Dual H-Technology of G2-BOND Universal enables the advanced </w:t>
      </w:r>
      <w:proofErr w:type="spellStart"/>
      <w:r>
        <w:rPr>
          <w:rFonts w:ascii="Verdana" w:hAnsi="Verdana"/>
          <w:color w:val="464646"/>
          <w:u w:color="464646"/>
          <w:lang w:val="en-US"/>
        </w:rPr>
        <w:t>optimisation</w:t>
      </w:r>
      <w:proofErr w:type="spellEnd"/>
      <w:r>
        <w:rPr>
          <w:rFonts w:ascii="Verdana" w:hAnsi="Verdana"/>
          <w:color w:val="464646"/>
          <w:u w:color="464646"/>
          <w:lang w:val="en-US"/>
        </w:rPr>
        <w:t xml:space="preserve"> of bonding both to tooth and composite by the smooth transition from hydrophilic to hydrophobic characteristics. The remarkably hydrophobic bond layer, thanks to the HEMA-free composition, lowers the occurrence of water sorption which decreases the risk of degradation and leads to superior durability and unmatched results.</w:t>
      </w:r>
      <w:bookmarkEnd w:id="4"/>
      <w:r>
        <w:rPr>
          <w:rFonts w:ascii="Verdana" w:hAnsi="Verdana"/>
          <w:color w:val="464646"/>
          <w:u w:color="464646"/>
          <w:lang w:val="en-US"/>
        </w:rPr>
        <w:t xml:space="preserve"> </w:t>
      </w:r>
    </w:p>
    <w:p w14:paraId="41C18AA1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</w:p>
    <w:p w14:paraId="38F020AD" w14:textId="1C02BF9C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r>
        <w:rPr>
          <w:rFonts w:ascii="Verdana" w:hAnsi="Verdana"/>
          <w:lang w:val="en-US"/>
        </w:rPr>
        <w:t xml:space="preserve">Its strong and durable bond layer ensures an improved margin stability, resulting in margins in anterior restorations to remain invisible, contributing to the product’s significantly reduced </w:t>
      </w:r>
      <w:proofErr w:type="spellStart"/>
      <w:r>
        <w:rPr>
          <w:rFonts w:ascii="Verdana" w:hAnsi="Verdana"/>
          <w:lang w:val="en-US"/>
        </w:rPr>
        <w:t>discolouration</w:t>
      </w:r>
      <w:proofErr w:type="spellEnd"/>
      <w:r>
        <w:rPr>
          <w:rFonts w:ascii="Verdana" w:hAnsi="Verdana"/>
          <w:lang w:val="en-US"/>
        </w:rPr>
        <w:t xml:space="preserve"> over time. Additionally, the optimal thickness of G2-BOND Universal acts as a shock absorbing layer to avoid gap formation and debonding, especially with high shrinkage and bulk-fill composites.</w:t>
      </w:r>
    </w:p>
    <w:p w14:paraId="6F224CAF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lang w:val="en-US"/>
        </w:rPr>
      </w:pPr>
    </w:p>
    <w:p w14:paraId="11E4CC7D" w14:textId="307D8AEE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bookmarkStart w:id="5" w:name="_Hlk57375092"/>
      <w:r>
        <w:rPr>
          <w:rFonts w:ascii="Verdana" w:hAnsi="Verdana"/>
          <w:lang w:val="en-US"/>
        </w:rPr>
        <w:t xml:space="preserve">Designed to improve restorations, G2-BOND Universal is an all-round world-class adhesive, giving clinicians the convenience of choice between self-etch and etch-and-rinse in one system. </w:t>
      </w:r>
      <w:bookmarkEnd w:id="5"/>
      <w:r>
        <w:rPr>
          <w:rFonts w:ascii="Verdana" w:hAnsi="Verdana"/>
          <w:lang w:val="en-US"/>
        </w:rPr>
        <w:t xml:space="preserve">The versatility of this product extends to its efficacy across multiple indications such as direct restorations, Immediate Dentin Sealing (IDS), intra-oral repair, treating hypersensitivity, the luting of indirect restorations and more. </w:t>
      </w:r>
    </w:p>
    <w:p w14:paraId="11859514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</w:p>
    <w:p w14:paraId="4CB4E68C" w14:textId="5B479C55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r>
        <w:rPr>
          <w:rFonts w:ascii="Verdana" w:hAnsi="Verdana"/>
          <w:lang w:val="en-US"/>
        </w:rPr>
        <w:t xml:space="preserve">The effectiveness of G2-BOND Universal has been assessed by dentists to test-drive its features in a real clinic setting. Clinicians from around the world have performed over </w:t>
      </w:r>
      <w:r>
        <w:rPr>
          <w:rFonts w:ascii="Verdana" w:hAnsi="Verdana"/>
          <w:lang w:val="en-US"/>
        </w:rPr>
        <w:lastRenderedPageBreak/>
        <w:t xml:space="preserve">1,500 restorations using G2-BOND Universal and have confirmed the product’s impressive sealing effectiveness with virtually no post-operative sensitivity. Further feedback included a high satisfaction rate with the results in both self-etch and etch-and-rinse mode. The participating dentists lauded its easy and pleasant handling next to the system’s waste-free and easy-to-use dispensing. </w:t>
      </w:r>
    </w:p>
    <w:p w14:paraId="52FD713C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</w:p>
    <w:p w14:paraId="5FEDE59C" w14:textId="65455AD8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r>
        <w:rPr>
          <w:rFonts w:ascii="Verdana" w:hAnsi="Verdana"/>
          <w:lang w:val="en-US"/>
        </w:rPr>
        <w:t xml:space="preserve">With its ergonomic and iconic cover design, G2-BOND Universal is instantly </w:t>
      </w:r>
      <w:proofErr w:type="spellStart"/>
      <w:r>
        <w:rPr>
          <w:rFonts w:ascii="Verdana" w:hAnsi="Verdana"/>
          <w:lang w:val="en-US"/>
        </w:rPr>
        <w:t>recognisable</w:t>
      </w:r>
      <w:proofErr w:type="spellEnd"/>
      <w:r>
        <w:rPr>
          <w:rFonts w:ascii="Verdana" w:hAnsi="Verdana"/>
          <w:lang w:val="en-US"/>
        </w:rPr>
        <w:t xml:space="preserve"> and a powerfully adaptable product to stock in any clinic, leading the way in adhesive dentistry as a new 2-bottle universal bonding standard in all etching modes.</w:t>
      </w:r>
    </w:p>
    <w:p w14:paraId="448E7135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</w:p>
    <w:p w14:paraId="2799C86F" w14:textId="77777777" w:rsidR="00B42843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4"/>
          <w:szCs w:val="24"/>
          <w:lang w:val="en-US"/>
        </w:rPr>
      </w:pPr>
      <w:r>
        <w:rPr>
          <w:rFonts w:ascii="Verdana" w:hAnsi="Verdana"/>
          <w:lang w:val="en-US"/>
        </w:rPr>
        <w:t>Discover the new way of 2-bottle adhesive dentistry with your choice of preferred etching mode for reliable results in a wide range of indications.</w:t>
      </w:r>
    </w:p>
    <w:p w14:paraId="51AB1D6B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lang w:val="en-US"/>
        </w:rPr>
      </w:pPr>
    </w:p>
    <w:p w14:paraId="2C92F3CE" w14:textId="47057466" w:rsidR="00E4135C" w:rsidRPr="00E4135C" w:rsidRDefault="00E4135C" w:rsidP="00E4135C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</w:pPr>
      <w:bookmarkStart w:id="6" w:name="_GoBack"/>
      <w:bookmarkEnd w:id="6"/>
      <w:r w:rsidRPr="009C1D99">
        <w:rPr>
          <w:rFonts w:ascii="Verdana" w:hAnsi="Verdana"/>
          <w:bCs/>
          <w:color w:val="464646"/>
          <w:spacing w:val="5"/>
          <w:kern w:val="28"/>
          <w:u w:color="464646"/>
          <w:lang w:val="fr-FR"/>
        </w:rPr>
        <w:t>GC Europe N.V.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proofErr w:type="spellStart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33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3001 Leuve</w:t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t>n</w:t>
      </w:r>
    </w:p>
    <w:p w14:paraId="1C9FECF2" w14:textId="17E66644" w:rsidR="00E4135C" w:rsidRPr="00FC0682" w:rsidRDefault="00E4135C" w:rsidP="00E4135C">
      <w:pPr>
        <w:rPr>
          <w:rFonts w:ascii="Verdana" w:hAnsi="Verdana"/>
          <w:color w:val="464646"/>
          <w:spacing w:val="5"/>
          <w:kern w:val="28"/>
          <w:u w:color="464646"/>
          <w:lang w:val="fr-FR"/>
        </w:rPr>
      </w:pP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t>Tel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+32.16.74.11.99</w:t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6" w:history="1">
        <w:r w:rsidRPr="0049236E">
          <w:rPr>
            <w:rStyle w:val="Hyperlink"/>
            <w:rFonts w:ascii="Verdana" w:hAnsi="Verdana"/>
            <w:spacing w:val="5"/>
            <w:kern w:val="28"/>
            <w:lang w:val="fr-FR"/>
          </w:rPr>
          <w:t>https://europe.gc.dental</w:t>
        </w:r>
      </w:hyperlink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7" w:history="1">
        <w:r w:rsidRPr="00614044">
          <w:rPr>
            <w:rStyle w:val="Hyperlink"/>
            <w:rFonts w:ascii="Verdana" w:hAnsi="Verdana"/>
            <w:spacing w:val="5"/>
            <w:kern w:val="28"/>
            <w:lang w:val="fr-FR"/>
          </w:rPr>
          <w:t>info.gce@gc.dental</w:t>
        </w:r>
      </w:hyperlink>
    </w:p>
    <w:p w14:paraId="48A04FD9" w14:textId="6F946FD3" w:rsidR="00B42843" w:rsidRPr="00E4135C" w:rsidRDefault="00B42843" w:rsidP="00E4135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lang w:val="fr-FR"/>
        </w:rPr>
      </w:pPr>
    </w:p>
    <w:sectPr w:rsidR="00B42843" w:rsidRPr="00E4135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81F2" w14:textId="77777777" w:rsidR="00C33F2E" w:rsidRDefault="0080581C">
      <w:r>
        <w:separator/>
      </w:r>
    </w:p>
  </w:endnote>
  <w:endnote w:type="continuationSeparator" w:id="0">
    <w:p w14:paraId="1C94B00C" w14:textId="77777777" w:rsidR="00C33F2E" w:rsidRDefault="0080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F809" w14:textId="77777777" w:rsidR="00B42843" w:rsidRDefault="00B428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408E7" w14:textId="77777777" w:rsidR="00C33F2E" w:rsidRDefault="0080581C">
      <w:r>
        <w:separator/>
      </w:r>
    </w:p>
  </w:footnote>
  <w:footnote w:type="continuationSeparator" w:id="0">
    <w:p w14:paraId="095803B7" w14:textId="77777777" w:rsidR="00C33F2E" w:rsidRDefault="0080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06525" w14:textId="77777777" w:rsidR="00B42843" w:rsidRDefault="00B428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43"/>
    <w:rsid w:val="0080581C"/>
    <w:rsid w:val="00B42843"/>
    <w:rsid w:val="00C33F2E"/>
    <w:rsid w:val="00E4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BFAB"/>
  <w15:docId w15:val="{C3AB9508-F214-445F-B209-E18F8809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e.gc.den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Taeleman, Liesbeth</cp:lastModifiedBy>
  <cp:revision>3</cp:revision>
  <dcterms:created xsi:type="dcterms:W3CDTF">2020-12-02T10:04:00Z</dcterms:created>
  <dcterms:modified xsi:type="dcterms:W3CDTF">2020-12-04T12:32:00Z</dcterms:modified>
</cp:coreProperties>
</file>