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4469B" w14:textId="77777777" w:rsidR="00B42843" w:rsidRDefault="0080581C">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both"/>
        <w:rPr>
          <w:rFonts w:ascii="Times New Roman" w:eastAsia="Times New Roman" w:hAnsi="Times New Roman" w:cs="Times New Roman"/>
          <w:sz w:val="24"/>
          <w:szCs w:val="24"/>
        </w:rPr>
      </w:pPr>
      <w:r>
        <w:rPr>
          <w:rFonts w:ascii="Verdana" w:hAnsi="Verdana"/>
          <w:b/>
          <w:bCs/>
          <w:color w:val="404040"/>
          <w:sz w:val="30"/>
          <w:szCs w:val="30"/>
          <w:u w:val="single" w:color="404040"/>
        </w:rPr>
        <w:t>Persbericht</w:t>
      </w:r>
    </w:p>
    <w:p w14:paraId="74B58AB0" w14:textId="77777777" w:rsidR="00B42843" w:rsidRDefault="00B42843">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sz w:val="24"/>
          <w:szCs w:val="24"/>
          <w:u w:val="single" w:color="404040"/>
        </w:rPr>
      </w:pPr>
    </w:p>
    <w:p w14:paraId="73966ECE" w14:textId="77777777" w:rsidR="00B42843" w:rsidRDefault="0080581C">
      <w:pPr>
        <w:pStyle w:val="BodyA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sz w:val="24"/>
          <w:szCs w:val="24"/>
        </w:rPr>
      </w:pPr>
      <w:bookmarkStart w:id="0" w:name="_Hlk42240645"/>
      <w:r>
        <w:rPr>
          <w:rFonts w:ascii="Verdana" w:hAnsi="Verdana"/>
          <w:color w:val="404040"/>
          <w:sz w:val="24"/>
          <w:szCs w:val="24"/>
          <w:u w:val="single" w:color="404040"/>
        </w:rPr>
        <w:t>G</w:t>
      </w:r>
      <w:bookmarkEnd w:id="0"/>
      <w:r>
        <w:rPr>
          <w:rFonts w:ascii="Verdana" w:hAnsi="Verdana"/>
          <w:color w:val="404040"/>
          <w:sz w:val="24"/>
          <w:szCs w:val="24"/>
          <w:u w:val="single" w:color="404040"/>
        </w:rPr>
        <w:t>2-BOND Universal van GC</w:t>
      </w:r>
    </w:p>
    <w:p w14:paraId="6D25D230" w14:textId="77777777" w:rsidR="00B42843" w:rsidRDefault="00B42843">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sz w:val="28"/>
          <w:szCs w:val="28"/>
          <w:u w:color="404040"/>
        </w:rPr>
      </w:pPr>
    </w:p>
    <w:p w14:paraId="5EFD774B" w14:textId="77777777" w:rsidR="00B42843" w:rsidRDefault="0080581C">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12" w:lineRule="auto"/>
        <w:jc w:val="both"/>
        <w:rPr>
          <w:rFonts w:ascii="Verdana" w:eastAsia="Verdana" w:hAnsi="Verdana" w:cs="Verdana"/>
          <w:b/>
          <w:bCs/>
          <w:color w:val="464646"/>
          <w:sz w:val="28"/>
          <w:szCs w:val="28"/>
          <w:u w:color="464646"/>
        </w:rPr>
      </w:pPr>
      <w:r>
        <w:rPr>
          <w:rFonts w:ascii="Verdana" w:hAnsi="Verdana"/>
          <w:b/>
          <w:bCs/>
          <w:color w:val="464646"/>
          <w:sz w:val="28"/>
          <w:szCs w:val="28"/>
          <w:u w:color="464646"/>
        </w:rPr>
        <w:t xml:space="preserve">Naar een nieuwe maatstaf in tandheelkundige </w:t>
      </w:r>
      <w:proofErr w:type="spellStart"/>
      <w:r>
        <w:rPr>
          <w:rFonts w:ascii="Verdana" w:hAnsi="Verdana"/>
          <w:b/>
          <w:bCs/>
          <w:color w:val="464646"/>
          <w:sz w:val="28"/>
          <w:szCs w:val="28"/>
          <w:u w:color="464646"/>
        </w:rPr>
        <w:t>adhesieven</w:t>
      </w:r>
      <w:proofErr w:type="spellEnd"/>
      <w:r>
        <w:rPr>
          <w:rFonts w:ascii="Verdana" w:hAnsi="Verdana"/>
          <w:b/>
          <w:bCs/>
          <w:color w:val="464646"/>
          <w:sz w:val="28"/>
          <w:szCs w:val="28"/>
          <w:u w:color="464646"/>
        </w:rPr>
        <w:t xml:space="preserve"> in 2 flacons </w:t>
      </w:r>
    </w:p>
    <w:p w14:paraId="3CD65BD4" w14:textId="77777777" w:rsidR="00B42843" w:rsidRDefault="00B42843">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sz w:val="24"/>
          <w:szCs w:val="24"/>
        </w:rPr>
      </w:pPr>
    </w:p>
    <w:p w14:paraId="068D96DB" w14:textId="4799FC27"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b/>
          <w:bCs/>
          <w:color w:val="464646"/>
          <w:u w:color="464646"/>
        </w:rPr>
      </w:pPr>
      <w:r>
        <w:rPr>
          <w:rFonts w:ascii="Verdana" w:hAnsi="Verdana"/>
          <w:b/>
          <w:bCs/>
          <w:color w:val="464646"/>
          <w:u w:color="464646"/>
        </w:rPr>
        <w:t xml:space="preserve">Met meer dan 1 miljard composietrestauraties en ruim 100 jaar aan gevestigde expertise in tandheelkundige materialen breidt </w:t>
      </w:r>
      <w:bookmarkStart w:id="1" w:name="_Hlk57373875"/>
      <w:r>
        <w:rPr>
          <w:rFonts w:ascii="Verdana" w:hAnsi="Verdana"/>
          <w:b/>
          <w:bCs/>
          <w:color w:val="464646"/>
          <w:u w:color="464646"/>
        </w:rPr>
        <w:t xml:space="preserve">GC haar portfolio van </w:t>
      </w:r>
      <w:proofErr w:type="spellStart"/>
      <w:r>
        <w:rPr>
          <w:rFonts w:ascii="Verdana" w:hAnsi="Verdana"/>
          <w:b/>
          <w:bCs/>
          <w:color w:val="464646"/>
          <w:u w:color="464646"/>
        </w:rPr>
        <w:t>adhesieven</w:t>
      </w:r>
      <w:proofErr w:type="spellEnd"/>
      <w:r>
        <w:rPr>
          <w:rFonts w:ascii="Verdana" w:hAnsi="Verdana"/>
          <w:b/>
          <w:bCs/>
          <w:color w:val="464646"/>
          <w:u w:color="464646"/>
        </w:rPr>
        <w:t xml:space="preserve"> nu uit met G2-BOND Universal, een universeel </w:t>
      </w:r>
      <w:bookmarkEnd w:id="1"/>
      <w:r>
        <w:rPr>
          <w:rFonts w:ascii="Verdana" w:hAnsi="Verdana"/>
          <w:b/>
          <w:bCs/>
          <w:color w:val="464646"/>
          <w:u w:color="464646"/>
        </w:rPr>
        <w:t xml:space="preserve">hechtsysteem, </w:t>
      </w:r>
      <w:r w:rsidR="00160878">
        <w:rPr>
          <w:rFonts w:ascii="Verdana" w:hAnsi="Verdana"/>
          <w:b/>
          <w:bCs/>
          <w:color w:val="464646"/>
          <w:u w:color="464646"/>
        </w:rPr>
        <w:t>bestaande</w:t>
      </w:r>
      <w:r>
        <w:rPr>
          <w:rFonts w:ascii="Verdana" w:hAnsi="Verdana"/>
          <w:b/>
          <w:bCs/>
          <w:color w:val="464646"/>
          <w:u w:color="464646"/>
        </w:rPr>
        <w:t xml:space="preserve"> </w:t>
      </w:r>
      <w:r w:rsidR="00160878">
        <w:rPr>
          <w:rFonts w:ascii="Verdana" w:hAnsi="Verdana"/>
          <w:b/>
          <w:bCs/>
          <w:color w:val="464646"/>
          <w:u w:color="464646"/>
        </w:rPr>
        <w:t>uit</w:t>
      </w:r>
      <w:r>
        <w:rPr>
          <w:rFonts w:ascii="Verdana" w:hAnsi="Verdana"/>
          <w:b/>
          <w:bCs/>
          <w:color w:val="464646"/>
          <w:u w:color="464646"/>
        </w:rPr>
        <w:t xml:space="preserve"> 2 flacons, dat over uitzonderlijke hechtingseigenschappen beschikt en bovendien veelzijdig kan worden ingezet. GC neemt het heft in handen met G2-BOND Universal en haar eigen Dual H-technologie, en maakt zo de weg vrij naar een nieuwe maatstaf in de </w:t>
      </w:r>
      <w:proofErr w:type="spellStart"/>
      <w:r>
        <w:rPr>
          <w:rFonts w:ascii="Verdana" w:hAnsi="Verdana"/>
          <w:b/>
          <w:bCs/>
          <w:color w:val="464646"/>
          <w:u w:color="464646"/>
        </w:rPr>
        <w:t>adhesieve</w:t>
      </w:r>
      <w:proofErr w:type="spellEnd"/>
      <w:r>
        <w:rPr>
          <w:rFonts w:ascii="Verdana" w:hAnsi="Verdana"/>
          <w:b/>
          <w:bCs/>
          <w:color w:val="464646"/>
          <w:u w:color="464646"/>
        </w:rPr>
        <w:t xml:space="preserve"> tandheelkunde. </w:t>
      </w:r>
      <w:bookmarkStart w:id="2" w:name="_Hlk57374138"/>
      <w:r>
        <w:rPr>
          <w:rFonts w:ascii="Verdana" w:hAnsi="Verdana"/>
          <w:b/>
          <w:bCs/>
          <w:color w:val="464646"/>
          <w:u w:color="464646"/>
        </w:rPr>
        <w:t xml:space="preserve">Clinici krijgen hiermee wat ze zouden mogen verwachten van bestaande producten voor </w:t>
      </w:r>
      <w:proofErr w:type="spellStart"/>
      <w:r>
        <w:rPr>
          <w:rFonts w:ascii="Verdana" w:hAnsi="Verdana"/>
          <w:b/>
          <w:bCs/>
          <w:color w:val="464646"/>
          <w:u w:color="464646"/>
        </w:rPr>
        <w:t>zelfets</w:t>
      </w:r>
      <w:proofErr w:type="spellEnd"/>
      <w:r>
        <w:rPr>
          <w:rFonts w:ascii="Verdana" w:hAnsi="Verdana"/>
          <w:b/>
          <w:bCs/>
          <w:color w:val="464646"/>
          <w:u w:color="464646"/>
        </w:rPr>
        <w:t>- en ets-en-spoeltechnieken, die het zogenaamde label ‘gouden standaard’ dragen. Dit product heeft echter nog veel meer te bieden.</w:t>
      </w:r>
    </w:p>
    <w:bookmarkEnd w:id="2"/>
    <w:p w14:paraId="00E103F0"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b/>
          <w:bCs/>
        </w:rPr>
      </w:pPr>
    </w:p>
    <w:p w14:paraId="5360C063" w14:textId="30BAF4E0"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color w:val="464646"/>
          <w:u w:color="464646"/>
        </w:rPr>
      </w:pPr>
      <w:r>
        <w:rPr>
          <w:rFonts w:ascii="Verdana" w:hAnsi="Verdana"/>
          <w:color w:val="464646"/>
          <w:u w:color="464646"/>
        </w:rPr>
        <w:t>D</w:t>
      </w:r>
      <w:bookmarkStart w:id="3" w:name="_Hlk57372522"/>
      <w:r>
        <w:rPr>
          <w:rFonts w:ascii="Verdana" w:hAnsi="Verdana"/>
          <w:color w:val="464646"/>
          <w:u w:color="464646"/>
        </w:rPr>
        <w:t>e</w:t>
      </w:r>
      <w:bookmarkStart w:id="4" w:name="_Hlk57374523"/>
      <w:bookmarkEnd w:id="3"/>
      <w:r>
        <w:rPr>
          <w:rFonts w:ascii="Verdana" w:hAnsi="Verdana"/>
          <w:color w:val="464646"/>
          <w:u w:color="464646"/>
        </w:rPr>
        <w:t xml:space="preserve"> Dual H-technologie van G2-BOND Universal laat de geavanceerde optimalisatie van een stabiele hechting toe, zowel op de tandstructuur als op het composiet, door de soepele overgang van hydrofiele naar hydrofobe eigenschappen. De opmerkelijk hydrofobe hechtlaag verlaagt - dankzij de HEMA-vrije samenstelling - de watersorptie, wat het risico op degradatie beperkt en leidt tot een superieure duurzaamheid en ongeëvenaarde resultaten.</w:t>
      </w:r>
      <w:bookmarkEnd w:id="4"/>
      <w:r>
        <w:rPr>
          <w:rFonts w:ascii="Verdana" w:hAnsi="Verdana"/>
          <w:color w:val="464646"/>
          <w:u w:color="464646"/>
        </w:rPr>
        <w:t xml:space="preserve"> </w:t>
      </w:r>
    </w:p>
    <w:p w14:paraId="41C18AA1"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p>
    <w:p w14:paraId="38F020AD" w14:textId="260ACC28"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r>
        <w:rPr>
          <w:rFonts w:ascii="Verdana" w:hAnsi="Verdana"/>
        </w:rPr>
        <w:t xml:space="preserve">De sterke en duurzame hechtlaag zorgt voor een verbeterde randstabiliteit, waardoor de randen in de anterieure restauraties onzichtbaar blijven en het product na verloop van tijd aanzienlijk minder verkleurt. Bovendien fungeert de optimale dikte van G2-BOND Universal als een schokabsorberende laag om </w:t>
      </w:r>
      <w:r w:rsidR="003B6918">
        <w:rPr>
          <w:rFonts w:ascii="Verdana" w:hAnsi="Verdana"/>
        </w:rPr>
        <w:t>breuken</w:t>
      </w:r>
      <w:r>
        <w:rPr>
          <w:rFonts w:ascii="Verdana" w:hAnsi="Verdana"/>
        </w:rPr>
        <w:t xml:space="preserve"> en </w:t>
      </w:r>
      <w:proofErr w:type="spellStart"/>
      <w:r w:rsidR="003B6918">
        <w:rPr>
          <w:rFonts w:ascii="Verdana" w:hAnsi="Verdana"/>
        </w:rPr>
        <w:t>debonding</w:t>
      </w:r>
      <w:proofErr w:type="spellEnd"/>
      <w:r>
        <w:rPr>
          <w:rFonts w:ascii="Verdana" w:hAnsi="Verdana"/>
        </w:rPr>
        <w:t xml:space="preserve"> te voorkomen, vooral bij een hoge krimpspanning en composieten voor bulkvulling.</w:t>
      </w:r>
    </w:p>
    <w:p w14:paraId="6F224CAF"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b/>
          <w:bCs/>
        </w:rPr>
      </w:pPr>
    </w:p>
    <w:p w14:paraId="11E4CC7D" w14:textId="307D8AEE"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bookmarkStart w:id="5" w:name="_Hlk57375092"/>
      <w:r>
        <w:rPr>
          <w:rFonts w:ascii="Verdana" w:hAnsi="Verdana"/>
        </w:rPr>
        <w:t xml:space="preserve">G2-BOND Universal, ontworpen om restauraties te optimaliseren, is een allround </w:t>
      </w:r>
      <w:proofErr w:type="spellStart"/>
      <w:r>
        <w:rPr>
          <w:rFonts w:ascii="Verdana" w:hAnsi="Verdana"/>
        </w:rPr>
        <w:t>adhesief</w:t>
      </w:r>
      <w:proofErr w:type="spellEnd"/>
      <w:r>
        <w:rPr>
          <w:rFonts w:ascii="Verdana" w:hAnsi="Verdana"/>
        </w:rPr>
        <w:t xml:space="preserve"> dat topprestaties levert en biedt clinici van over de hele wereld de keuze tussen de </w:t>
      </w:r>
      <w:proofErr w:type="spellStart"/>
      <w:r>
        <w:rPr>
          <w:rFonts w:ascii="Verdana" w:hAnsi="Verdana"/>
        </w:rPr>
        <w:t>zelfets</w:t>
      </w:r>
      <w:proofErr w:type="spellEnd"/>
      <w:r>
        <w:rPr>
          <w:rFonts w:ascii="Verdana" w:hAnsi="Verdana"/>
        </w:rPr>
        <w:t xml:space="preserve">- of ets-en-spoelmethode. </w:t>
      </w:r>
      <w:bookmarkEnd w:id="5"/>
      <w:r>
        <w:rPr>
          <w:rFonts w:ascii="Verdana" w:hAnsi="Verdana"/>
        </w:rPr>
        <w:t xml:space="preserve">Dit product kent tal van toepassingen en zijn veelzijdigheid kan doeltreffend worden ingezet bij meerdere indicaties zoals directe restauraties, </w:t>
      </w:r>
      <w:proofErr w:type="spellStart"/>
      <w:r>
        <w:rPr>
          <w:rFonts w:ascii="Verdana" w:hAnsi="Verdana"/>
        </w:rPr>
        <w:t>Immediate</w:t>
      </w:r>
      <w:proofErr w:type="spellEnd"/>
      <w:r>
        <w:rPr>
          <w:rFonts w:ascii="Verdana" w:hAnsi="Verdana"/>
        </w:rPr>
        <w:t xml:space="preserve"> Dentine </w:t>
      </w:r>
      <w:proofErr w:type="spellStart"/>
      <w:r>
        <w:rPr>
          <w:rFonts w:ascii="Verdana" w:hAnsi="Verdana"/>
        </w:rPr>
        <w:t>Sealing</w:t>
      </w:r>
      <w:proofErr w:type="spellEnd"/>
      <w:r>
        <w:rPr>
          <w:rFonts w:ascii="Verdana" w:hAnsi="Verdana"/>
        </w:rPr>
        <w:t xml:space="preserve"> (IDS), intra-orale reparaties, de behandeling van hypersensitiviteit, de afdichting van indirecte restauraties en nog veel meer. </w:t>
      </w:r>
    </w:p>
    <w:p w14:paraId="11859514"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p>
    <w:p w14:paraId="4CB4E68C" w14:textId="3BEDC53F"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r>
        <w:rPr>
          <w:rFonts w:ascii="Verdana" w:hAnsi="Verdana"/>
        </w:rPr>
        <w:t xml:space="preserve">De werkzaamheid van G2-BOND Universal is door tandartsen beoordeeld om de eigenschappen ervan te testen in een echte klinische omgeving. Artsen hebben wereldwijd meer dan 1500 restauraties uitgevoerd met G2-BOND Universal en hebben de indrukwekkende effectiviteit van het product bij het </w:t>
      </w:r>
      <w:r w:rsidR="00160878">
        <w:rPr>
          <w:rFonts w:ascii="Verdana" w:hAnsi="Verdana"/>
        </w:rPr>
        <w:t>bonden</w:t>
      </w:r>
      <w:r>
        <w:rPr>
          <w:rFonts w:ascii="Verdana" w:hAnsi="Verdana"/>
        </w:rPr>
        <w:t xml:space="preserve"> bevestigd, zonder dat er sprake is van postoperatieve gevoeligheid. Uit verdere respons bleek, zowel met de </w:t>
      </w:r>
      <w:proofErr w:type="spellStart"/>
      <w:r>
        <w:rPr>
          <w:rFonts w:ascii="Verdana" w:hAnsi="Verdana"/>
        </w:rPr>
        <w:t>zelfets</w:t>
      </w:r>
      <w:proofErr w:type="spellEnd"/>
      <w:r>
        <w:rPr>
          <w:rFonts w:ascii="Verdana" w:hAnsi="Verdana"/>
        </w:rPr>
        <w:t xml:space="preserve">- als de ets- en spoeltechniek, een hoge mate van tevredenheid over de resultaten. De deelnemende tandartsen prezen naast het gebruiksgemak ook de </w:t>
      </w:r>
      <w:r w:rsidR="00160878">
        <w:rPr>
          <w:rFonts w:ascii="Verdana" w:hAnsi="Verdana"/>
        </w:rPr>
        <w:t>efficiënte</w:t>
      </w:r>
      <w:r>
        <w:rPr>
          <w:rFonts w:ascii="Verdana" w:hAnsi="Verdana"/>
        </w:rPr>
        <w:t xml:space="preserve"> en eenvoudig te gebruiken dosering van het systeem. </w:t>
      </w:r>
    </w:p>
    <w:p w14:paraId="52FD713C"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p>
    <w:p w14:paraId="5FEDE59C" w14:textId="2BB4D9DB"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r>
        <w:rPr>
          <w:rFonts w:ascii="Verdana" w:hAnsi="Verdana"/>
        </w:rPr>
        <w:t xml:space="preserve">G2-BOND Universal valt direct op dankzij zijn ergonomische en iconische verpakkingsontwerp. Het is toonaangevend in de tandheelkunde als nieuw universeel </w:t>
      </w:r>
      <w:proofErr w:type="spellStart"/>
      <w:r>
        <w:rPr>
          <w:rFonts w:ascii="Verdana" w:hAnsi="Verdana"/>
        </w:rPr>
        <w:t>adhesief</w:t>
      </w:r>
      <w:proofErr w:type="spellEnd"/>
      <w:r>
        <w:rPr>
          <w:rFonts w:ascii="Verdana" w:hAnsi="Verdana"/>
        </w:rPr>
        <w:t xml:space="preserve"> in 2 flacons voor alle etsmethodes.</w:t>
      </w:r>
    </w:p>
    <w:p w14:paraId="448E7135"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rPr>
      </w:pPr>
    </w:p>
    <w:p w14:paraId="2799C86F" w14:textId="585D71CB" w:rsidR="00B42843" w:rsidRDefault="008058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rPr>
          <w:rFonts w:ascii="Verdana" w:eastAsia="Verdana" w:hAnsi="Verdana" w:cs="Verdana"/>
          <w:sz w:val="24"/>
          <w:szCs w:val="24"/>
        </w:rPr>
      </w:pPr>
      <w:r>
        <w:rPr>
          <w:rFonts w:ascii="Verdana" w:hAnsi="Verdana"/>
        </w:rPr>
        <w:t xml:space="preserve">Kies de gewenste etsmethode en ontdek deze nieuwe evolutie binnen de </w:t>
      </w:r>
      <w:proofErr w:type="spellStart"/>
      <w:r>
        <w:rPr>
          <w:rFonts w:ascii="Verdana" w:hAnsi="Verdana"/>
        </w:rPr>
        <w:t>adhesieve</w:t>
      </w:r>
      <w:proofErr w:type="spellEnd"/>
      <w:r>
        <w:rPr>
          <w:rFonts w:ascii="Verdana" w:hAnsi="Verdana"/>
        </w:rPr>
        <w:t xml:space="preserve"> tandheelkunde voor betrouwbare resultaten binnen een breed scala van indicaties. </w:t>
      </w:r>
      <w:r w:rsidR="00137A6B">
        <w:rPr>
          <w:rFonts w:ascii="Verdana" w:hAnsi="Verdana"/>
        </w:rPr>
        <w:t>Bestaande</w:t>
      </w:r>
      <w:r>
        <w:rPr>
          <w:rFonts w:ascii="Verdana" w:hAnsi="Verdana"/>
        </w:rPr>
        <w:t xml:space="preserve"> in 2 flacons.</w:t>
      </w:r>
    </w:p>
    <w:p w14:paraId="51AB1D6B" w14:textId="77777777" w:rsidR="00B42843" w:rsidRPr="003B6918" w:rsidRDefault="00B4284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line="360" w:lineRule="auto"/>
        <w:jc w:val="both"/>
      </w:pPr>
    </w:p>
    <w:p w14:paraId="2C92F3CE" w14:textId="47057466" w:rsidR="00E4135C" w:rsidRPr="00E4135C" w:rsidRDefault="00E4135C" w:rsidP="00E4135C">
      <w:pPr>
        <w:spacing w:line="360" w:lineRule="auto"/>
        <w:rPr>
          <w:rFonts w:ascii="Verdana" w:eastAsia="Verdana" w:hAnsi="Verdana" w:cs="Verdana"/>
          <w:bCs/>
          <w:color w:val="464646"/>
          <w:spacing w:val="5"/>
          <w:kern w:val="28"/>
          <w:u w:color="464646"/>
        </w:rPr>
      </w:pPr>
      <w:r>
        <w:rPr>
          <w:rFonts w:ascii="Verdana" w:hAnsi="Verdana"/>
          <w:bCs/>
          <w:color w:val="464646"/>
          <w:u w:color="464646"/>
        </w:rPr>
        <w:t>GC Europe N.V.</w:t>
      </w:r>
      <w:r>
        <w:rPr>
          <w:rFonts w:ascii="Verdana" w:hAnsi="Verdana"/>
          <w:bCs/>
          <w:color w:val="464646"/>
          <w:u w:color="464646"/>
        </w:rPr>
        <w:br/>
      </w:r>
      <w:proofErr w:type="spellStart"/>
      <w:r>
        <w:rPr>
          <w:rFonts w:ascii="Verdana" w:hAnsi="Verdana"/>
          <w:color w:val="464646"/>
          <w:u w:color="464646"/>
        </w:rPr>
        <w:t>Interleuvenlaan</w:t>
      </w:r>
      <w:proofErr w:type="spellEnd"/>
      <w:r>
        <w:rPr>
          <w:rFonts w:ascii="Verdana" w:hAnsi="Verdana"/>
          <w:color w:val="464646"/>
          <w:u w:color="464646"/>
        </w:rPr>
        <w:t xml:space="preserve"> 33</w:t>
      </w:r>
      <w:r>
        <w:rPr>
          <w:rFonts w:ascii="Verdana" w:hAnsi="Verdana"/>
          <w:bCs/>
          <w:color w:val="464646"/>
          <w:u w:color="464646"/>
        </w:rPr>
        <w:br/>
      </w:r>
      <w:r>
        <w:rPr>
          <w:rFonts w:ascii="Verdana" w:hAnsi="Verdana"/>
          <w:color w:val="464646"/>
          <w:u w:color="464646"/>
        </w:rPr>
        <w:t>3001 Leuven</w:t>
      </w:r>
    </w:p>
    <w:p w14:paraId="1C9FECF2" w14:textId="17E66644" w:rsidR="00E4135C" w:rsidRPr="00FC0682" w:rsidRDefault="00E4135C" w:rsidP="00E4135C">
      <w:pPr>
        <w:rPr>
          <w:rFonts w:ascii="Verdana" w:hAnsi="Verdana"/>
          <w:color w:val="464646"/>
          <w:spacing w:val="5"/>
          <w:kern w:val="28"/>
          <w:u w:color="464646"/>
        </w:rPr>
      </w:pPr>
      <w:r>
        <w:rPr>
          <w:rFonts w:ascii="Verdana" w:hAnsi="Verdana"/>
          <w:color w:val="464646"/>
          <w:u w:color="464646"/>
        </w:rPr>
        <w:t xml:space="preserve">Tel.: </w:t>
      </w:r>
      <w:r>
        <w:rPr>
          <w:rFonts w:ascii="Verdana" w:hAnsi="Verdana"/>
          <w:color w:val="464646"/>
          <w:u w:color="464646"/>
        </w:rPr>
        <w:tab/>
        <w:t>+32.16.74.10.00</w:t>
      </w:r>
      <w:r>
        <w:rPr>
          <w:rFonts w:ascii="Verdana" w:hAnsi="Verdana"/>
          <w:color w:val="464646"/>
          <w:u w:color="464646"/>
        </w:rPr>
        <w:tab/>
      </w:r>
      <w:r>
        <w:rPr>
          <w:rFonts w:ascii="Verdana" w:hAnsi="Verdana"/>
          <w:bCs/>
          <w:color w:val="464646"/>
          <w:u w:color="464646"/>
        </w:rPr>
        <w:br/>
      </w:r>
      <w:r>
        <w:rPr>
          <w:rFonts w:ascii="Verdana" w:hAnsi="Verdana"/>
          <w:color w:val="464646"/>
          <w:u w:color="464646"/>
        </w:rPr>
        <w:t xml:space="preserve">Fax: </w:t>
      </w:r>
      <w:r>
        <w:rPr>
          <w:rFonts w:ascii="Verdana" w:hAnsi="Verdana"/>
          <w:color w:val="464646"/>
          <w:u w:color="464646"/>
        </w:rPr>
        <w:tab/>
        <w:t>+32.16.74.11.99</w:t>
      </w:r>
      <w:r>
        <w:rPr>
          <w:rFonts w:ascii="Verdana" w:hAnsi="Verdana"/>
          <w:color w:val="464646"/>
          <w:u w:color="464646"/>
        </w:rPr>
        <w:br/>
      </w:r>
      <w:hyperlink r:id="rId9" w:history="1">
        <w:r>
          <w:rPr>
            <w:rStyle w:val="Hyperlink"/>
            <w:rFonts w:ascii="Verdana" w:hAnsi="Verdana"/>
          </w:rPr>
          <w:t>https://europe.gc.dental</w:t>
        </w:r>
      </w:hyperlink>
      <w:r>
        <w:rPr>
          <w:rFonts w:ascii="Verdana" w:hAnsi="Verdana"/>
          <w:color w:val="464646"/>
          <w:u w:color="464646"/>
        </w:rPr>
        <w:br/>
      </w:r>
      <w:hyperlink r:id="rId10" w:history="1">
        <w:r>
          <w:rPr>
            <w:rStyle w:val="Hyperlink"/>
            <w:rFonts w:ascii="Verdana" w:hAnsi="Verdana"/>
          </w:rPr>
          <w:t>info.gce@gc.dental</w:t>
        </w:r>
      </w:hyperlink>
    </w:p>
    <w:p w14:paraId="48A04FD9" w14:textId="6F946FD3" w:rsidR="00B42843" w:rsidRPr="003B6918" w:rsidRDefault="00B42843" w:rsidP="00E4135C">
      <w:pPr>
        <w:pStyle w:val="BodyA"/>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pPr>
    </w:p>
    <w:sectPr w:rsidR="00B42843" w:rsidRPr="003B6918">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CC16E" w14:textId="77777777" w:rsidR="0036209E" w:rsidRDefault="0036209E">
      <w:r>
        <w:separator/>
      </w:r>
    </w:p>
  </w:endnote>
  <w:endnote w:type="continuationSeparator" w:id="0">
    <w:p w14:paraId="298D5285" w14:textId="77777777" w:rsidR="0036209E" w:rsidRDefault="0036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DF809" w14:textId="77777777" w:rsidR="00B42843" w:rsidRDefault="00B4284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726B" w14:textId="77777777" w:rsidR="0036209E" w:rsidRDefault="0036209E">
      <w:r>
        <w:separator/>
      </w:r>
    </w:p>
  </w:footnote>
  <w:footnote w:type="continuationSeparator" w:id="0">
    <w:p w14:paraId="39ED1953" w14:textId="77777777" w:rsidR="0036209E" w:rsidRDefault="0036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06525" w14:textId="77777777" w:rsidR="00B42843" w:rsidRDefault="00B4284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43"/>
    <w:rsid w:val="00137A6B"/>
    <w:rsid w:val="00160878"/>
    <w:rsid w:val="0036209E"/>
    <w:rsid w:val="003B6918"/>
    <w:rsid w:val="0080581C"/>
    <w:rsid w:val="00B42843"/>
    <w:rsid w:val="00C33F2E"/>
    <w:rsid w:val="00E4135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BFAB"/>
  <w15:docId w15:val="{C3AB9508-F214-445F-B209-E18F8809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nl-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customStyle="1" w:styleId="BodyAA">
    <w:name w:val="Body A A"/>
    <w:rPr>
      <w:rFonts w:ascii="Helvetica Neue" w:eastAsia="Helvetica Neue" w:hAnsi="Helvetica Neue" w:cs="Helvetica Neue"/>
      <w:color w:val="000000"/>
      <w:sz w:val="22"/>
      <w:szCs w:val="22"/>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B">
    <w:name w:val="Body B"/>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gce@gc.dental" TargetMode="External"/><Relationship Id="rId4" Type="http://schemas.openxmlformats.org/officeDocument/2006/relationships/styles" Target="styles.xml"/><Relationship Id="rId9" Type="http://schemas.openxmlformats.org/officeDocument/2006/relationships/hyperlink" Target="https://europe.gc.dental"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Create a new document." ma:contentTypeScope="" ma:versionID="c90207f27ccb6f907016a06954345045">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54ae5cf1a5adb3c50ea9ef644800895a"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14DD5-4132-4086-A43C-E586C307D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3ADF91-9116-49C9-9E69-8829C5F6EA39}">
  <ds:schemaRefs>
    <ds:schemaRef ds:uri="http://schemas.microsoft.com/sharepoint/v3/contenttype/forms"/>
  </ds:schemaRefs>
</ds:datastoreItem>
</file>

<file path=customXml/itemProps3.xml><?xml version="1.0" encoding="utf-8"?>
<ds:datastoreItem xmlns:ds="http://schemas.openxmlformats.org/officeDocument/2006/customXml" ds:itemID="{923951FB-13B6-4D6F-9EF0-9C20D2A0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Taeleman, Liesbeth</cp:lastModifiedBy>
  <cp:revision>3</cp:revision>
  <dcterms:created xsi:type="dcterms:W3CDTF">2020-12-02T10:04:00Z</dcterms:created>
  <dcterms:modified xsi:type="dcterms:W3CDTF">2020-12-04T12:32:00Z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