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469B" w14:textId="77777777" w:rsidR="00B42843" w:rsidRPr="00FC0FAA" w:rsidRDefault="0080581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both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FC0FAA">
        <w:rPr>
          <w:rFonts w:ascii="Verdana" w:hAnsi="Verdana"/>
          <w:b/>
          <w:color w:val="auto"/>
          <w:sz w:val="30"/>
          <w:u w:val="single" w:color="404040"/>
        </w:rPr>
        <w:t>Pressemeldung</w:t>
      </w:r>
    </w:p>
    <w:p w14:paraId="74B58AB0" w14:textId="77777777" w:rsidR="00B42843" w:rsidRPr="00FC0FAA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auto"/>
          <w:sz w:val="24"/>
          <w:szCs w:val="24"/>
          <w:u w:val="single" w:color="404040"/>
        </w:rPr>
      </w:pPr>
    </w:p>
    <w:p w14:paraId="73966ECE" w14:textId="77777777" w:rsidR="00B42843" w:rsidRPr="00FC0FAA" w:rsidRDefault="0080581C">
      <w:pPr>
        <w:pStyle w:val="BodyA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Times New Roman" w:hAnsi="Verdana" w:cs="Times New Roman"/>
          <w:color w:val="auto"/>
          <w:sz w:val="24"/>
          <w:szCs w:val="24"/>
        </w:rPr>
      </w:pPr>
      <w:bookmarkStart w:id="0" w:name="_Hlk42240645"/>
      <w:r w:rsidRPr="00FC0FAA">
        <w:rPr>
          <w:rFonts w:ascii="Verdana" w:hAnsi="Verdana"/>
          <w:color w:val="auto"/>
          <w:sz w:val="24"/>
          <w:u w:val="single" w:color="404040"/>
        </w:rPr>
        <w:t>G</w:t>
      </w:r>
      <w:bookmarkEnd w:id="0"/>
      <w:r w:rsidRPr="00FC0FAA">
        <w:rPr>
          <w:rFonts w:ascii="Verdana" w:hAnsi="Verdana"/>
          <w:color w:val="auto"/>
          <w:sz w:val="24"/>
          <w:u w:val="single" w:color="404040"/>
        </w:rPr>
        <w:t>2-BOND Universal von GC</w:t>
      </w:r>
    </w:p>
    <w:p w14:paraId="5EFD774B" w14:textId="733265F4" w:rsidR="00B42843" w:rsidRPr="00FC0FAA" w:rsidRDefault="00F3397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12" w:lineRule="auto"/>
        <w:jc w:val="both"/>
        <w:rPr>
          <w:rFonts w:ascii="Verdana" w:eastAsia="Verdana" w:hAnsi="Verdana" w:cs="Verdana"/>
          <w:b/>
          <w:bCs/>
          <w:color w:val="auto"/>
          <w:sz w:val="28"/>
          <w:szCs w:val="28"/>
          <w:u w:color="464646"/>
        </w:rPr>
      </w:pPr>
      <w:r w:rsidRPr="00FC0FAA">
        <w:rPr>
          <w:rFonts w:ascii="Verdana" w:hAnsi="Verdana"/>
          <w:b/>
          <w:color w:val="auto"/>
          <w:sz w:val="28"/>
          <w:u w:color="464646"/>
        </w:rPr>
        <w:t>Wegweisend für</w:t>
      </w:r>
      <w:r w:rsidR="0080581C" w:rsidRPr="00FC0FAA">
        <w:rPr>
          <w:rFonts w:ascii="Verdana" w:hAnsi="Verdana"/>
          <w:b/>
          <w:color w:val="auto"/>
          <w:sz w:val="28"/>
          <w:u w:color="464646"/>
        </w:rPr>
        <w:t xml:space="preserve"> </w:t>
      </w:r>
      <w:r w:rsidR="00FC0FAA">
        <w:rPr>
          <w:rFonts w:ascii="Verdana" w:hAnsi="Verdana"/>
          <w:b/>
          <w:color w:val="auto"/>
          <w:sz w:val="28"/>
          <w:u w:color="464646"/>
        </w:rPr>
        <w:t xml:space="preserve">einen </w:t>
      </w:r>
      <w:r w:rsidR="0080581C" w:rsidRPr="00FC0FAA">
        <w:rPr>
          <w:rFonts w:ascii="Verdana" w:hAnsi="Verdana"/>
          <w:b/>
          <w:color w:val="auto"/>
          <w:sz w:val="28"/>
          <w:u w:color="464646"/>
        </w:rPr>
        <w:t xml:space="preserve">neuen Standard bei </w:t>
      </w:r>
      <w:r w:rsidRPr="00FC0FAA">
        <w:rPr>
          <w:rFonts w:ascii="Verdana" w:hAnsi="Verdana"/>
          <w:b/>
          <w:color w:val="auto"/>
          <w:sz w:val="28"/>
          <w:u w:color="464646"/>
        </w:rPr>
        <w:t>2-Flaschen</w:t>
      </w:r>
      <w:r w:rsidR="0080581C" w:rsidRPr="00FC0FAA">
        <w:rPr>
          <w:rFonts w:ascii="Verdana" w:hAnsi="Verdana"/>
          <w:b/>
          <w:color w:val="auto"/>
          <w:sz w:val="28"/>
          <w:u w:color="464646"/>
        </w:rPr>
        <w:t>-</w:t>
      </w:r>
      <w:r w:rsidRPr="00FC0FAA">
        <w:rPr>
          <w:rFonts w:ascii="Verdana" w:hAnsi="Verdana"/>
          <w:b/>
          <w:color w:val="auto"/>
          <w:sz w:val="28"/>
          <w:u w:color="464646"/>
        </w:rPr>
        <w:t xml:space="preserve">Universal-Bondings </w:t>
      </w:r>
    </w:p>
    <w:p w14:paraId="3CD65BD4" w14:textId="77777777" w:rsidR="00B42843" w:rsidRPr="00FC0FAA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auto"/>
          <w:sz w:val="24"/>
          <w:szCs w:val="24"/>
        </w:rPr>
      </w:pPr>
    </w:p>
    <w:p w14:paraId="068D96DB" w14:textId="209E7988" w:rsidR="00B42843" w:rsidRPr="00751121" w:rsidRDefault="00F33973" w:rsidP="00FC0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Avenir-Light"/>
          <w:sz w:val="20"/>
          <w:szCs w:val="20"/>
          <w:lang w:bidi="hi-IN"/>
        </w:rPr>
      </w:pPr>
      <w:r w:rsidRPr="00751121">
        <w:rPr>
          <w:rFonts w:ascii="Verdana" w:hAnsi="Verdana" w:cs="Avenir-Light"/>
          <w:b/>
          <w:lang w:eastAsia="ja-JP" w:bidi="hi-IN"/>
        </w:rPr>
        <w:t xml:space="preserve">Mit über einer Milliarde </w:t>
      </w:r>
      <w:r w:rsidR="00762250">
        <w:rPr>
          <w:rFonts w:ascii="Verdana" w:hAnsi="Verdana" w:cs="Avenir-Light"/>
          <w:b/>
          <w:lang w:eastAsia="ja-JP" w:bidi="hi-IN"/>
        </w:rPr>
        <w:t xml:space="preserve">gelegter </w:t>
      </w:r>
      <w:r w:rsidRPr="00751121">
        <w:rPr>
          <w:rFonts w:ascii="Verdana" w:hAnsi="Verdana" w:cs="Avenir-Light"/>
          <w:b/>
          <w:lang w:eastAsia="ja-JP" w:bidi="hi-IN"/>
        </w:rPr>
        <w:t xml:space="preserve">Composite-Restaurationen und </w:t>
      </w:r>
      <w:r w:rsidR="00762250">
        <w:rPr>
          <w:rFonts w:ascii="Verdana" w:hAnsi="Verdana" w:cs="Avenir-Light"/>
          <w:b/>
          <w:lang w:eastAsia="ja-JP" w:bidi="hi-IN"/>
        </w:rPr>
        <w:t xml:space="preserve">100 Jahren </w:t>
      </w:r>
      <w:r w:rsidRPr="00751121">
        <w:rPr>
          <w:rFonts w:ascii="Verdana" w:hAnsi="Verdana" w:cs="Avenir-Light"/>
          <w:b/>
          <w:lang w:eastAsia="ja-JP" w:bidi="hi-IN"/>
        </w:rPr>
        <w:t>Kompetenz</w:t>
      </w:r>
      <w:r w:rsidR="00762250">
        <w:rPr>
          <w:rFonts w:ascii="Verdana" w:hAnsi="Verdana" w:cs="Avenir-Light"/>
          <w:b/>
          <w:lang w:eastAsia="ja-JP" w:bidi="hi-IN"/>
        </w:rPr>
        <w:t xml:space="preserve"> als Hersteller hochwertiger Dental</w:t>
      </w:r>
      <w:bookmarkStart w:id="1" w:name="_Hlk57373875"/>
      <w:r w:rsidR="00762250">
        <w:rPr>
          <w:rFonts w:ascii="Verdana" w:hAnsi="Verdana" w:cs="Avenir-Light"/>
          <w:b/>
          <w:lang w:eastAsia="ja-JP" w:bidi="hi-IN"/>
        </w:rPr>
        <w:t>produkte</w:t>
      </w:r>
      <w:r w:rsidR="00762250">
        <w:rPr>
          <w:rFonts w:ascii="Verdana" w:hAnsi="Verdana"/>
          <w:b/>
          <w:u w:color="464646"/>
        </w:rPr>
        <w:t xml:space="preserve"> </w:t>
      </w:r>
      <w:r w:rsidR="0080581C" w:rsidRPr="00751121">
        <w:rPr>
          <w:rFonts w:ascii="Verdana" w:hAnsi="Verdana"/>
          <w:b/>
          <w:u w:color="464646"/>
        </w:rPr>
        <w:t>erweitert GC sein Angebot an Adhäsiv-Lösungen nun um G2-BOND Universal</w:t>
      </w:r>
      <w:r w:rsidR="00AA031A" w:rsidRPr="00751121">
        <w:rPr>
          <w:rFonts w:ascii="Verdana" w:hAnsi="Verdana"/>
          <w:b/>
          <w:u w:color="464646"/>
        </w:rPr>
        <w:t>.</w:t>
      </w:r>
      <w:r w:rsidR="0080581C" w:rsidRPr="00751121">
        <w:rPr>
          <w:rFonts w:ascii="Verdana" w:hAnsi="Verdana"/>
          <w:b/>
          <w:u w:color="464646"/>
        </w:rPr>
        <w:t xml:space="preserve"> </w:t>
      </w:r>
      <w:r w:rsidR="00AA031A" w:rsidRPr="00751121">
        <w:rPr>
          <w:rFonts w:ascii="Verdana" w:hAnsi="Verdana"/>
          <w:b/>
          <w:u w:color="464646"/>
        </w:rPr>
        <w:t>E</w:t>
      </w:r>
      <w:r w:rsidR="0080581C" w:rsidRPr="00751121">
        <w:rPr>
          <w:rFonts w:ascii="Verdana" w:hAnsi="Verdana"/>
          <w:b/>
          <w:u w:color="464646"/>
        </w:rPr>
        <w:t xml:space="preserve">in universelles </w:t>
      </w:r>
      <w:r w:rsidR="0090659B" w:rsidRPr="00751121">
        <w:rPr>
          <w:rFonts w:ascii="Verdana" w:hAnsi="Verdana"/>
          <w:b/>
          <w:u w:color="464646"/>
        </w:rPr>
        <w:t>2-Flaschen</w:t>
      </w:r>
      <w:r w:rsidR="0080581C" w:rsidRPr="00751121">
        <w:rPr>
          <w:rFonts w:ascii="Verdana" w:hAnsi="Verdana"/>
          <w:b/>
          <w:u w:color="464646"/>
        </w:rPr>
        <w:t>-</w:t>
      </w:r>
      <w:bookmarkEnd w:id="1"/>
      <w:r w:rsidR="0080581C" w:rsidRPr="00751121">
        <w:rPr>
          <w:rFonts w:ascii="Verdana" w:hAnsi="Verdana"/>
          <w:b/>
          <w:u w:color="464646"/>
        </w:rPr>
        <w:t xml:space="preserve">Bonding, das sich durch eine hervorragende </w:t>
      </w:r>
      <w:r w:rsidR="00CD3457" w:rsidRPr="00751121">
        <w:rPr>
          <w:rFonts w:ascii="Verdana" w:hAnsi="Verdana"/>
          <w:b/>
          <w:u w:color="464646"/>
        </w:rPr>
        <w:t>Haftf</w:t>
      </w:r>
      <w:r w:rsidR="0080581C" w:rsidRPr="00751121">
        <w:rPr>
          <w:rFonts w:ascii="Verdana" w:hAnsi="Verdana"/>
          <w:b/>
          <w:u w:color="464646"/>
        </w:rPr>
        <w:t xml:space="preserve">estigkeit und </w:t>
      </w:r>
      <w:r w:rsidR="00762250">
        <w:rPr>
          <w:rFonts w:ascii="Verdana" w:hAnsi="Verdana"/>
          <w:b/>
          <w:u w:color="464646"/>
        </w:rPr>
        <w:t>ein breites Indikationsspektrum</w:t>
      </w:r>
      <w:r w:rsidR="0080581C" w:rsidRPr="00751121">
        <w:rPr>
          <w:rFonts w:ascii="Verdana" w:hAnsi="Verdana"/>
          <w:b/>
          <w:u w:color="464646"/>
        </w:rPr>
        <w:t xml:space="preserve"> auszeichnet. Mit G2-BOND Universal und der </w:t>
      </w:r>
      <w:r w:rsidR="0090659B" w:rsidRPr="00751121">
        <w:rPr>
          <w:rFonts w:ascii="Verdana" w:hAnsi="Verdana"/>
          <w:b/>
          <w:u w:color="464646"/>
        </w:rPr>
        <w:t>patentierten</w:t>
      </w:r>
      <w:r w:rsidR="0080581C" w:rsidRPr="00751121">
        <w:rPr>
          <w:rFonts w:ascii="Verdana" w:hAnsi="Verdana"/>
          <w:b/>
          <w:u w:color="464646"/>
        </w:rPr>
        <w:t xml:space="preserve"> </w:t>
      </w:r>
      <w:r w:rsidR="00B557E5" w:rsidRPr="00751121">
        <w:rPr>
          <w:rFonts w:ascii="Verdana" w:hAnsi="Verdana"/>
          <w:b/>
          <w:u w:color="464646"/>
        </w:rPr>
        <w:t>„</w:t>
      </w:r>
      <w:r w:rsidR="0080581C" w:rsidRPr="00751121">
        <w:rPr>
          <w:rFonts w:ascii="Verdana" w:hAnsi="Verdana"/>
          <w:b/>
          <w:u w:color="464646"/>
        </w:rPr>
        <w:t>Dual</w:t>
      </w:r>
      <w:r w:rsidR="002B5D68" w:rsidRPr="00751121">
        <w:rPr>
          <w:rFonts w:ascii="Verdana" w:hAnsi="Verdana"/>
          <w:b/>
          <w:u w:color="464646"/>
        </w:rPr>
        <w:t>-</w:t>
      </w:r>
      <w:r w:rsidR="0080581C" w:rsidRPr="00751121">
        <w:rPr>
          <w:rFonts w:ascii="Verdana" w:hAnsi="Verdana"/>
          <w:b/>
          <w:u w:color="464646"/>
        </w:rPr>
        <w:t>H-Technologie</w:t>
      </w:r>
      <w:r w:rsidR="00B557E5" w:rsidRPr="00751121">
        <w:rPr>
          <w:rFonts w:ascii="Verdana" w:hAnsi="Verdana"/>
          <w:b/>
          <w:u w:color="464646"/>
        </w:rPr>
        <w:t>“</w:t>
      </w:r>
      <w:r w:rsidR="0080581C" w:rsidRPr="00751121">
        <w:rPr>
          <w:rFonts w:ascii="Verdana" w:hAnsi="Verdana"/>
          <w:b/>
          <w:u w:color="464646"/>
        </w:rPr>
        <w:t xml:space="preserve"> etabliert GC eine neue</w:t>
      </w:r>
      <w:r w:rsidR="00CD3457" w:rsidRPr="00751121">
        <w:rPr>
          <w:rFonts w:ascii="Verdana" w:hAnsi="Verdana"/>
          <w:b/>
          <w:u w:color="464646"/>
        </w:rPr>
        <w:t xml:space="preserve"> Referenz</w:t>
      </w:r>
      <w:r w:rsidR="0080581C" w:rsidRPr="00751121">
        <w:rPr>
          <w:rFonts w:ascii="Verdana" w:hAnsi="Verdana"/>
          <w:b/>
          <w:u w:color="464646"/>
        </w:rPr>
        <w:t xml:space="preserve"> in der </w:t>
      </w:r>
      <w:r w:rsidR="0090659B" w:rsidRPr="00751121">
        <w:rPr>
          <w:rFonts w:ascii="Verdana" w:hAnsi="Verdana"/>
          <w:b/>
          <w:u w:color="464646"/>
        </w:rPr>
        <w:t>adhäsiven Zahnmedizin und</w:t>
      </w:r>
      <w:r w:rsidR="00B768C8" w:rsidRPr="00751121">
        <w:rPr>
          <w:rFonts w:ascii="Verdana" w:hAnsi="Verdana"/>
          <w:b/>
          <w:u w:color="464646"/>
        </w:rPr>
        <w:t xml:space="preserve"> </w:t>
      </w:r>
      <w:bookmarkStart w:id="2" w:name="_Hlk57374138"/>
      <w:r w:rsidR="0080581C" w:rsidRPr="00751121">
        <w:rPr>
          <w:rFonts w:ascii="Verdana" w:hAnsi="Verdana"/>
          <w:b/>
          <w:u w:color="464646"/>
        </w:rPr>
        <w:t>bietet den Zahnärzten alles, was sie von den derzeitigen Goldstandard</w:t>
      </w:r>
      <w:r w:rsidR="00CD3457" w:rsidRPr="00751121">
        <w:rPr>
          <w:rFonts w:ascii="Verdana" w:hAnsi="Verdana"/>
          <w:b/>
          <w:u w:color="464646"/>
        </w:rPr>
        <w:t>s</w:t>
      </w:r>
      <w:r w:rsidR="0080581C" w:rsidRPr="00751121">
        <w:rPr>
          <w:rFonts w:ascii="Verdana" w:hAnsi="Verdana"/>
          <w:b/>
          <w:u w:color="464646"/>
        </w:rPr>
        <w:t xml:space="preserve"> </w:t>
      </w:r>
      <w:r w:rsidR="00CD3457" w:rsidRPr="00751121">
        <w:rPr>
          <w:rFonts w:ascii="Verdana" w:hAnsi="Verdana"/>
          <w:b/>
          <w:u w:color="464646"/>
        </w:rPr>
        <w:t>bei den</w:t>
      </w:r>
      <w:r w:rsidR="0080581C" w:rsidRPr="00751121">
        <w:rPr>
          <w:rFonts w:ascii="Verdana" w:hAnsi="Verdana"/>
          <w:b/>
          <w:u w:color="464646"/>
        </w:rPr>
        <w:t xml:space="preserve"> </w:t>
      </w:r>
      <w:r w:rsidR="00CD3457" w:rsidRPr="00751121">
        <w:rPr>
          <w:rFonts w:ascii="Verdana" w:hAnsi="Verdana"/>
          <w:b/>
          <w:u w:color="464646"/>
        </w:rPr>
        <w:t>s</w:t>
      </w:r>
      <w:r w:rsidR="0080581C" w:rsidRPr="00751121">
        <w:rPr>
          <w:rFonts w:ascii="Verdana" w:hAnsi="Verdana"/>
          <w:b/>
          <w:u w:color="464646"/>
        </w:rPr>
        <w:t>elbstät</w:t>
      </w:r>
      <w:r w:rsidR="00CD3457" w:rsidRPr="00751121">
        <w:rPr>
          <w:rFonts w:ascii="Verdana" w:hAnsi="Verdana"/>
          <w:b/>
          <w:u w:color="464646"/>
        </w:rPr>
        <w:t>zenden</w:t>
      </w:r>
      <w:r w:rsidR="0080581C" w:rsidRPr="00751121">
        <w:rPr>
          <w:rFonts w:ascii="Verdana" w:hAnsi="Verdana"/>
          <w:b/>
          <w:u w:color="464646"/>
        </w:rPr>
        <w:t xml:space="preserve"> und </w:t>
      </w:r>
      <w:proofErr w:type="spellStart"/>
      <w:r w:rsidR="0090659B" w:rsidRPr="00751121">
        <w:rPr>
          <w:rFonts w:ascii="Verdana" w:hAnsi="Verdana"/>
          <w:b/>
          <w:u w:color="464646"/>
        </w:rPr>
        <w:t>Etch</w:t>
      </w:r>
      <w:proofErr w:type="spellEnd"/>
      <w:r w:rsidR="0090659B" w:rsidRPr="00751121">
        <w:rPr>
          <w:rFonts w:ascii="Verdana" w:hAnsi="Verdana"/>
          <w:b/>
          <w:u w:color="464646"/>
        </w:rPr>
        <w:t>-and-</w:t>
      </w:r>
      <w:proofErr w:type="spellStart"/>
      <w:r w:rsidR="0090659B" w:rsidRPr="00751121">
        <w:rPr>
          <w:rFonts w:ascii="Verdana" w:hAnsi="Verdana"/>
          <w:b/>
          <w:u w:color="464646"/>
        </w:rPr>
        <w:t>Rinse</w:t>
      </w:r>
      <w:proofErr w:type="spellEnd"/>
      <w:r w:rsidR="0090659B" w:rsidRPr="00751121">
        <w:rPr>
          <w:rFonts w:ascii="Verdana" w:hAnsi="Verdana"/>
          <w:b/>
          <w:u w:color="464646"/>
        </w:rPr>
        <w:t>-</w:t>
      </w:r>
      <w:r w:rsidR="00CD3457" w:rsidRPr="00751121">
        <w:rPr>
          <w:rFonts w:ascii="Verdana" w:hAnsi="Verdana"/>
          <w:b/>
          <w:u w:color="464646"/>
        </w:rPr>
        <w:t>Adhäsiven</w:t>
      </w:r>
      <w:r w:rsidR="0090659B" w:rsidRPr="00751121">
        <w:rPr>
          <w:rFonts w:ascii="Verdana" w:hAnsi="Verdana"/>
          <w:b/>
          <w:u w:color="464646"/>
        </w:rPr>
        <w:t xml:space="preserve"> </w:t>
      </w:r>
      <w:r w:rsidR="00CD3457" w:rsidRPr="00751121">
        <w:rPr>
          <w:rFonts w:ascii="Verdana" w:hAnsi="Verdana"/>
          <w:b/>
          <w:u w:color="464646"/>
        </w:rPr>
        <w:t>kennen</w:t>
      </w:r>
      <w:r w:rsidR="0080581C" w:rsidRPr="00751121">
        <w:rPr>
          <w:rFonts w:ascii="Verdana" w:hAnsi="Verdana"/>
          <w:b/>
          <w:u w:color="464646"/>
        </w:rPr>
        <w:t>, und</w:t>
      </w:r>
      <w:r w:rsidR="0090659B" w:rsidRPr="00751121">
        <w:rPr>
          <w:rFonts w:ascii="Verdana" w:hAnsi="Verdana"/>
          <w:b/>
          <w:u w:color="464646"/>
        </w:rPr>
        <w:t xml:space="preserve"> </w:t>
      </w:r>
      <w:r w:rsidR="00762250">
        <w:rPr>
          <w:rFonts w:ascii="Verdana" w:hAnsi="Verdana"/>
          <w:b/>
          <w:u w:color="464646"/>
        </w:rPr>
        <w:t>noch einiges mehr</w:t>
      </w:r>
      <w:r w:rsidR="00751121" w:rsidRPr="00751121">
        <w:rPr>
          <w:rFonts w:ascii="Verdana" w:hAnsi="Verdana"/>
          <w:b/>
          <w:u w:color="464646"/>
        </w:rPr>
        <w:t>.</w:t>
      </w:r>
    </w:p>
    <w:bookmarkEnd w:id="2"/>
    <w:p w14:paraId="00E103F0" w14:textId="77777777" w:rsidR="00B42843" w:rsidRPr="00751121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color w:val="auto"/>
        </w:rPr>
      </w:pPr>
    </w:p>
    <w:p w14:paraId="5360C063" w14:textId="0036CC0D" w:rsidR="00B42843" w:rsidRPr="00751121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  <w:u w:color="464646"/>
        </w:rPr>
      </w:pPr>
      <w:r w:rsidRPr="00751121">
        <w:rPr>
          <w:rFonts w:ascii="Verdana" w:hAnsi="Verdana"/>
          <w:color w:val="auto"/>
          <w:u w:color="464646"/>
        </w:rPr>
        <w:t>D</w:t>
      </w:r>
      <w:bookmarkStart w:id="3" w:name="_Hlk57372522"/>
      <w:r w:rsidRPr="00751121">
        <w:rPr>
          <w:rFonts w:ascii="Verdana" w:hAnsi="Verdana"/>
          <w:color w:val="auto"/>
          <w:u w:color="464646"/>
        </w:rPr>
        <w:t>i</w:t>
      </w:r>
      <w:bookmarkStart w:id="4" w:name="_Hlk57374523"/>
      <w:bookmarkEnd w:id="3"/>
      <w:r w:rsidRPr="00751121">
        <w:rPr>
          <w:rFonts w:ascii="Verdana" w:hAnsi="Verdana"/>
          <w:color w:val="auto"/>
          <w:u w:color="464646"/>
        </w:rPr>
        <w:t xml:space="preserve">e </w:t>
      </w:r>
      <w:r w:rsidR="00832D88" w:rsidRPr="00751121">
        <w:rPr>
          <w:rFonts w:ascii="Verdana" w:hAnsi="Verdana"/>
          <w:color w:val="auto"/>
          <w:u w:color="464646"/>
        </w:rPr>
        <w:t>„</w:t>
      </w:r>
      <w:r w:rsidRPr="00751121">
        <w:rPr>
          <w:rFonts w:ascii="Verdana" w:hAnsi="Verdana"/>
          <w:color w:val="auto"/>
          <w:u w:color="464646"/>
        </w:rPr>
        <w:t>Dua</w:t>
      </w:r>
      <w:r w:rsidR="003D0BF0" w:rsidRPr="00751121">
        <w:rPr>
          <w:rFonts w:ascii="Verdana" w:hAnsi="Verdana"/>
          <w:color w:val="auto"/>
          <w:u w:color="464646"/>
        </w:rPr>
        <w:t>l-</w:t>
      </w:r>
      <w:r w:rsidRPr="00751121">
        <w:rPr>
          <w:rFonts w:ascii="Verdana" w:hAnsi="Verdana"/>
          <w:color w:val="auto"/>
          <w:u w:color="464646"/>
        </w:rPr>
        <w:t>H-Technologie</w:t>
      </w:r>
      <w:r w:rsidR="00832D88" w:rsidRPr="00751121">
        <w:rPr>
          <w:rFonts w:ascii="Verdana" w:hAnsi="Verdana"/>
          <w:color w:val="auto"/>
          <w:u w:color="464646"/>
        </w:rPr>
        <w:t>“</w:t>
      </w:r>
      <w:r w:rsidRPr="00751121">
        <w:rPr>
          <w:rFonts w:ascii="Verdana" w:hAnsi="Verdana"/>
          <w:color w:val="auto"/>
          <w:u w:color="464646"/>
        </w:rPr>
        <w:t xml:space="preserve"> von G2-BOND Universal </w:t>
      </w:r>
      <w:r w:rsidR="00832D88" w:rsidRPr="00751121">
        <w:rPr>
          <w:rFonts w:ascii="Verdana" w:hAnsi="Verdana"/>
          <w:color w:val="auto"/>
          <w:u w:color="464646"/>
        </w:rPr>
        <w:t>führt zu einem</w:t>
      </w:r>
      <w:r w:rsidRPr="00751121">
        <w:rPr>
          <w:rFonts w:ascii="Verdana" w:hAnsi="Verdana"/>
          <w:color w:val="auto"/>
          <w:u w:color="464646"/>
        </w:rPr>
        <w:t xml:space="preserve"> </w:t>
      </w:r>
      <w:r w:rsidR="00DB623A" w:rsidRPr="00751121">
        <w:rPr>
          <w:rFonts w:ascii="Verdana" w:hAnsi="Verdana"/>
          <w:color w:val="auto"/>
          <w:u w:color="464646"/>
        </w:rPr>
        <w:t>kontinuierlichen</w:t>
      </w:r>
      <w:r w:rsidR="0090659B" w:rsidRPr="00751121">
        <w:rPr>
          <w:rFonts w:ascii="Verdana" w:hAnsi="Verdana"/>
          <w:color w:val="auto"/>
          <w:u w:color="464646"/>
        </w:rPr>
        <w:t xml:space="preserve"> </w:t>
      </w:r>
      <w:r w:rsidRPr="00751121">
        <w:rPr>
          <w:rFonts w:ascii="Verdana" w:hAnsi="Verdana"/>
          <w:color w:val="auto"/>
          <w:u w:color="464646"/>
        </w:rPr>
        <w:t xml:space="preserve">Übergang von hydrophil zu hydrophob </w:t>
      </w:r>
      <w:r w:rsidR="00832D88" w:rsidRPr="00751121">
        <w:rPr>
          <w:rFonts w:ascii="Verdana" w:hAnsi="Verdana"/>
          <w:color w:val="auto"/>
          <w:u w:color="464646"/>
        </w:rPr>
        <w:t xml:space="preserve">und </w:t>
      </w:r>
      <w:r w:rsidR="007377D2">
        <w:rPr>
          <w:rFonts w:ascii="Verdana" w:hAnsi="Verdana"/>
          <w:color w:val="auto"/>
          <w:u w:color="464646"/>
        </w:rPr>
        <w:t>dadurch</w:t>
      </w:r>
      <w:r w:rsidR="00832D88" w:rsidRPr="00751121">
        <w:rPr>
          <w:rFonts w:ascii="Verdana" w:hAnsi="Verdana"/>
          <w:color w:val="auto"/>
          <w:u w:color="464646"/>
        </w:rPr>
        <w:t xml:space="preserve"> </w:t>
      </w:r>
      <w:r w:rsidRPr="00751121">
        <w:rPr>
          <w:rFonts w:ascii="Verdana" w:hAnsi="Verdana"/>
          <w:color w:val="auto"/>
          <w:u w:color="464646"/>
        </w:rPr>
        <w:t>eine</w:t>
      </w:r>
      <w:r w:rsidR="00832D88" w:rsidRPr="00751121">
        <w:rPr>
          <w:rFonts w:ascii="Verdana" w:hAnsi="Verdana"/>
          <w:color w:val="auto"/>
          <w:u w:color="464646"/>
        </w:rPr>
        <w:t>r</w:t>
      </w:r>
      <w:r w:rsidRPr="00751121">
        <w:rPr>
          <w:rFonts w:ascii="Verdana" w:hAnsi="Verdana"/>
          <w:color w:val="auto"/>
          <w:u w:color="464646"/>
        </w:rPr>
        <w:t xml:space="preserve"> Optimierung des</w:t>
      </w:r>
      <w:r w:rsidR="00832D88" w:rsidRPr="00751121">
        <w:rPr>
          <w:rFonts w:ascii="Verdana" w:hAnsi="Verdana"/>
          <w:color w:val="auto"/>
          <w:u w:color="464646"/>
        </w:rPr>
        <w:t xml:space="preserve"> </w:t>
      </w:r>
      <w:r w:rsidR="0090659B" w:rsidRPr="00751121">
        <w:rPr>
          <w:rFonts w:ascii="Verdana" w:hAnsi="Verdana"/>
          <w:color w:val="auto"/>
          <w:u w:color="464646"/>
        </w:rPr>
        <w:t xml:space="preserve">Haftverbundes </w:t>
      </w:r>
      <w:r w:rsidR="00CD3457" w:rsidRPr="00751121">
        <w:rPr>
          <w:rFonts w:ascii="Verdana" w:hAnsi="Verdana"/>
          <w:color w:val="auto"/>
          <w:u w:color="464646"/>
        </w:rPr>
        <w:t>zwischen</w:t>
      </w:r>
      <w:r w:rsidRPr="00751121">
        <w:rPr>
          <w:rFonts w:ascii="Verdana" w:hAnsi="Verdana"/>
          <w:color w:val="auto"/>
          <w:u w:color="464646"/>
        </w:rPr>
        <w:t xml:space="preserve"> Zahn</w:t>
      </w:r>
      <w:r w:rsidR="00CD3457" w:rsidRPr="00751121">
        <w:rPr>
          <w:rFonts w:ascii="Verdana" w:hAnsi="Verdana"/>
          <w:color w:val="auto"/>
          <w:u w:color="464646"/>
        </w:rPr>
        <w:t>hartsubstanz</w:t>
      </w:r>
      <w:r w:rsidRPr="00751121">
        <w:rPr>
          <w:rFonts w:ascii="Verdana" w:hAnsi="Verdana"/>
          <w:color w:val="auto"/>
          <w:u w:color="464646"/>
        </w:rPr>
        <w:t xml:space="preserve"> </w:t>
      </w:r>
      <w:r w:rsidR="00CD3457" w:rsidRPr="00751121">
        <w:rPr>
          <w:rFonts w:ascii="Verdana" w:hAnsi="Verdana"/>
          <w:color w:val="auto"/>
          <w:u w:color="464646"/>
        </w:rPr>
        <w:t>und</w:t>
      </w:r>
      <w:r w:rsidRPr="00751121">
        <w:rPr>
          <w:rFonts w:ascii="Verdana" w:hAnsi="Verdana"/>
          <w:color w:val="auto"/>
          <w:u w:color="464646"/>
        </w:rPr>
        <w:t xml:space="preserve"> Composite. Die hydrophobe Bonding-Schicht verringert durch ihre HEMA-freie Zusammensetzung die Wasseraufnahme wodurch das Risiko </w:t>
      </w:r>
      <w:r w:rsidR="0090659B" w:rsidRPr="00751121">
        <w:rPr>
          <w:rFonts w:ascii="Verdana" w:hAnsi="Verdana"/>
          <w:color w:val="auto"/>
          <w:u w:color="464646"/>
        </w:rPr>
        <w:t xml:space="preserve">der </w:t>
      </w:r>
      <w:r w:rsidRPr="00751121">
        <w:rPr>
          <w:rFonts w:ascii="Verdana" w:hAnsi="Verdana"/>
          <w:color w:val="auto"/>
          <w:u w:color="464646"/>
        </w:rPr>
        <w:t xml:space="preserve">Degradation </w:t>
      </w:r>
      <w:r w:rsidR="0090659B" w:rsidRPr="00751121">
        <w:rPr>
          <w:rFonts w:ascii="Verdana" w:hAnsi="Verdana"/>
          <w:color w:val="auto"/>
          <w:u w:color="464646"/>
        </w:rPr>
        <w:t xml:space="preserve">reduziert </w:t>
      </w:r>
      <w:r w:rsidRPr="00751121">
        <w:rPr>
          <w:rFonts w:ascii="Verdana" w:hAnsi="Verdana"/>
          <w:color w:val="auto"/>
          <w:u w:color="464646"/>
        </w:rPr>
        <w:t xml:space="preserve">wird. </w:t>
      </w:r>
      <w:r w:rsidR="00DB623A" w:rsidRPr="00751121">
        <w:rPr>
          <w:rFonts w:ascii="Verdana" w:hAnsi="Verdana"/>
          <w:color w:val="auto"/>
          <w:u w:color="464646"/>
        </w:rPr>
        <w:t>Langfristig stabile Haftwerte</w:t>
      </w:r>
      <w:r w:rsidRPr="00751121">
        <w:rPr>
          <w:rFonts w:ascii="Verdana" w:hAnsi="Verdana"/>
          <w:color w:val="auto"/>
          <w:u w:color="464646"/>
        </w:rPr>
        <w:t xml:space="preserve"> </w:t>
      </w:r>
      <w:r w:rsidR="00DB623A" w:rsidRPr="00751121">
        <w:rPr>
          <w:rFonts w:ascii="Verdana" w:hAnsi="Verdana"/>
          <w:color w:val="auto"/>
          <w:u w:color="464646"/>
        </w:rPr>
        <w:t>sind das Ergebnis.</w:t>
      </w:r>
      <w:r w:rsidRPr="00751121">
        <w:rPr>
          <w:rFonts w:ascii="Verdana" w:hAnsi="Verdana"/>
          <w:color w:val="auto"/>
          <w:u w:color="464646"/>
        </w:rPr>
        <w:t xml:space="preserve"> </w:t>
      </w:r>
      <w:bookmarkEnd w:id="4"/>
      <w:r w:rsidRPr="00751121">
        <w:rPr>
          <w:rFonts w:ascii="Verdana" w:hAnsi="Verdana"/>
          <w:color w:val="auto"/>
          <w:u w:color="464646"/>
        </w:rPr>
        <w:t xml:space="preserve"> </w:t>
      </w:r>
    </w:p>
    <w:p w14:paraId="41C18AA1" w14:textId="77777777" w:rsidR="00B42843" w:rsidRPr="00751121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</w:p>
    <w:p w14:paraId="38F020AD" w14:textId="2E74580B" w:rsidR="00B42843" w:rsidRPr="00FC0FAA" w:rsidRDefault="0080581C" w:rsidP="007377D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  <w:r w:rsidRPr="00751121">
        <w:rPr>
          <w:rFonts w:ascii="Verdana" w:hAnsi="Verdana"/>
          <w:color w:val="auto"/>
        </w:rPr>
        <w:t xml:space="preserve">Die Bonding-Schicht </w:t>
      </w:r>
      <w:r w:rsidR="00914B3E">
        <w:rPr>
          <w:rFonts w:ascii="Verdana" w:hAnsi="Verdana"/>
          <w:color w:val="auto"/>
        </w:rPr>
        <w:t>unterstützt</w:t>
      </w:r>
      <w:r w:rsidRPr="00751121">
        <w:rPr>
          <w:rFonts w:ascii="Verdana" w:hAnsi="Verdana"/>
          <w:color w:val="auto"/>
        </w:rPr>
        <w:t xml:space="preserve"> eine</w:t>
      </w:r>
      <w:r w:rsidR="0022263B" w:rsidRPr="00751121">
        <w:rPr>
          <w:rFonts w:ascii="Verdana" w:hAnsi="Verdana"/>
          <w:color w:val="auto"/>
        </w:rPr>
        <w:t xml:space="preserve"> langfristig </w:t>
      </w:r>
      <w:r w:rsidR="007377D2">
        <w:rPr>
          <w:rFonts w:ascii="Verdana" w:hAnsi="Verdana"/>
          <w:color w:val="auto"/>
        </w:rPr>
        <w:t>überdurchschnittliche</w:t>
      </w:r>
      <w:r w:rsidR="0090659B" w:rsidRPr="00751121">
        <w:rPr>
          <w:rFonts w:ascii="Verdana" w:hAnsi="Verdana"/>
          <w:color w:val="auto"/>
        </w:rPr>
        <w:t xml:space="preserve"> </w:t>
      </w:r>
      <w:r w:rsidRPr="00751121">
        <w:rPr>
          <w:rFonts w:ascii="Verdana" w:hAnsi="Verdana"/>
          <w:color w:val="auto"/>
        </w:rPr>
        <w:t>Rand</w:t>
      </w:r>
      <w:r w:rsidR="0022263B" w:rsidRPr="00751121">
        <w:rPr>
          <w:rFonts w:ascii="Verdana" w:hAnsi="Verdana"/>
          <w:color w:val="auto"/>
        </w:rPr>
        <w:t>qualität</w:t>
      </w:r>
      <w:r w:rsidR="007377D2">
        <w:rPr>
          <w:rFonts w:ascii="Verdana" w:hAnsi="Verdana"/>
          <w:color w:val="auto"/>
        </w:rPr>
        <w:t xml:space="preserve">, die Unsichtbarkeit der </w:t>
      </w:r>
      <w:proofErr w:type="spellStart"/>
      <w:r w:rsidR="007377D2">
        <w:rPr>
          <w:rFonts w:ascii="Verdana" w:hAnsi="Verdana"/>
          <w:color w:val="auto"/>
        </w:rPr>
        <w:t>Randfuge</w:t>
      </w:r>
      <w:proofErr w:type="spellEnd"/>
      <w:r w:rsidR="007377D2">
        <w:rPr>
          <w:rFonts w:ascii="Verdana" w:hAnsi="Verdana"/>
          <w:color w:val="auto"/>
        </w:rPr>
        <w:t xml:space="preserve"> und die </w:t>
      </w:r>
      <w:r w:rsidR="0022263B">
        <w:rPr>
          <w:rFonts w:ascii="Verdana" w:hAnsi="Verdana"/>
          <w:color w:val="auto"/>
        </w:rPr>
        <w:t>ästhetische</w:t>
      </w:r>
      <w:r w:rsidR="007377D2">
        <w:rPr>
          <w:rFonts w:ascii="Verdana" w:hAnsi="Verdana"/>
          <w:color w:val="auto"/>
        </w:rPr>
        <w:t>n</w:t>
      </w:r>
      <w:r w:rsidR="0022263B">
        <w:rPr>
          <w:rFonts w:ascii="Verdana" w:hAnsi="Verdana"/>
          <w:color w:val="auto"/>
        </w:rPr>
        <w:t xml:space="preserve"> Ergebnisse</w:t>
      </w:r>
      <w:r w:rsidR="0090659B" w:rsidRPr="00FC0FAA">
        <w:rPr>
          <w:rFonts w:ascii="Verdana" w:hAnsi="Verdana"/>
          <w:color w:val="auto"/>
        </w:rPr>
        <w:t xml:space="preserve"> bei</w:t>
      </w:r>
      <w:r w:rsidRPr="00FC0FAA">
        <w:rPr>
          <w:rFonts w:ascii="Verdana" w:hAnsi="Verdana"/>
          <w:color w:val="auto"/>
        </w:rPr>
        <w:t xml:space="preserve"> Frontzahnrestaurationen. Zusätzlich wirkt die G2-BOND Universal</w:t>
      </w:r>
      <w:r w:rsidR="00C665AA">
        <w:rPr>
          <w:rFonts w:ascii="Verdana" w:hAnsi="Verdana"/>
          <w:color w:val="auto"/>
        </w:rPr>
        <w:t xml:space="preserve"> Bonding-Schicht</w:t>
      </w:r>
      <w:r w:rsidRPr="00FC0FAA">
        <w:rPr>
          <w:rFonts w:ascii="Verdana" w:hAnsi="Verdana"/>
          <w:color w:val="auto"/>
        </w:rPr>
        <w:t xml:space="preserve"> </w:t>
      </w:r>
      <w:r w:rsidR="0090659B" w:rsidRPr="00FC0FAA">
        <w:rPr>
          <w:rFonts w:ascii="Verdana" w:hAnsi="Verdana"/>
          <w:color w:val="auto"/>
        </w:rPr>
        <w:t>kaudruckabsorbiere</w:t>
      </w:r>
      <w:r w:rsidR="00C665AA">
        <w:rPr>
          <w:rFonts w:ascii="Verdana" w:hAnsi="Verdana"/>
          <w:color w:val="auto"/>
        </w:rPr>
        <w:t>nd</w:t>
      </w:r>
      <w:r w:rsidRPr="00FC0FAA">
        <w:rPr>
          <w:rFonts w:ascii="Verdana" w:hAnsi="Verdana"/>
          <w:color w:val="auto"/>
        </w:rPr>
        <w:t xml:space="preserve">, </w:t>
      </w:r>
      <w:r w:rsidR="00C665AA">
        <w:rPr>
          <w:rFonts w:ascii="Verdana" w:hAnsi="Verdana"/>
          <w:color w:val="auto"/>
        </w:rPr>
        <w:t>wodurch</w:t>
      </w:r>
      <w:r w:rsidR="0022263B">
        <w:rPr>
          <w:rFonts w:ascii="Verdana" w:hAnsi="Verdana"/>
          <w:color w:val="auto"/>
        </w:rPr>
        <w:t xml:space="preserve"> der</w:t>
      </w:r>
      <w:r w:rsidRPr="00FC0FAA">
        <w:rPr>
          <w:rFonts w:ascii="Verdana" w:hAnsi="Verdana"/>
          <w:color w:val="auto"/>
        </w:rPr>
        <w:t xml:space="preserve"> </w:t>
      </w:r>
      <w:r w:rsidR="0090659B" w:rsidRPr="00FC0FAA">
        <w:rPr>
          <w:rFonts w:ascii="Verdana" w:hAnsi="Verdana"/>
          <w:color w:val="auto"/>
        </w:rPr>
        <w:t>Rands</w:t>
      </w:r>
      <w:r w:rsidRPr="00FC0FAA">
        <w:rPr>
          <w:rFonts w:ascii="Verdana" w:hAnsi="Verdana"/>
          <w:color w:val="auto"/>
        </w:rPr>
        <w:t>paltbildung</w:t>
      </w:r>
      <w:r w:rsidR="0022263B">
        <w:rPr>
          <w:rFonts w:ascii="Verdana" w:hAnsi="Verdana"/>
          <w:color w:val="auto"/>
        </w:rPr>
        <w:t xml:space="preserve"> </w:t>
      </w:r>
      <w:r w:rsidR="00C665AA">
        <w:rPr>
          <w:rFonts w:ascii="Verdana" w:hAnsi="Verdana"/>
          <w:color w:val="auto"/>
        </w:rPr>
        <w:t>und</w:t>
      </w:r>
      <w:r w:rsidR="0022263B">
        <w:rPr>
          <w:rFonts w:ascii="Verdana" w:hAnsi="Verdana"/>
          <w:color w:val="auto"/>
        </w:rPr>
        <w:t xml:space="preserve"> Füllungsverlusten</w:t>
      </w:r>
      <w:r w:rsidRPr="00FC0FAA">
        <w:rPr>
          <w:rFonts w:ascii="Verdana" w:hAnsi="Verdana"/>
          <w:color w:val="auto"/>
        </w:rPr>
        <w:t xml:space="preserve"> </w:t>
      </w:r>
      <w:r w:rsidR="0022263B">
        <w:rPr>
          <w:rFonts w:ascii="Verdana" w:hAnsi="Verdana"/>
          <w:color w:val="auto"/>
        </w:rPr>
        <w:t>zum Beispiel</w:t>
      </w:r>
      <w:r w:rsidRPr="00FC0FAA">
        <w:rPr>
          <w:rFonts w:ascii="Verdana" w:hAnsi="Verdana"/>
          <w:color w:val="auto"/>
        </w:rPr>
        <w:t xml:space="preserve"> bei hoher Schrumpfspannung </w:t>
      </w:r>
      <w:r w:rsidR="0022263B">
        <w:rPr>
          <w:rFonts w:ascii="Verdana" w:hAnsi="Verdana"/>
          <w:color w:val="auto"/>
        </w:rPr>
        <w:t>oder Verwendung von</w:t>
      </w:r>
      <w:r w:rsidRPr="00FC0FAA">
        <w:rPr>
          <w:rFonts w:ascii="Verdana" w:hAnsi="Verdana"/>
          <w:color w:val="auto"/>
        </w:rPr>
        <w:t xml:space="preserve"> Bulk-Fill-</w:t>
      </w:r>
      <w:proofErr w:type="spellStart"/>
      <w:r w:rsidRPr="00FC0FAA">
        <w:rPr>
          <w:rFonts w:ascii="Verdana" w:hAnsi="Verdana"/>
          <w:color w:val="auto"/>
        </w:rPr>
        <w:t>Composit</w:t>
      </w:r>
      <w:r w:rsidR="0022263B">
        <w:rPr>
          <w:rFonts w:ascii="Verdana" w:hAnsi="Verdana"/>
          <w:color w:val="auto"/>
        </w:rPr>
        <w:t>en</w:t>
      </w:r>
      <w:proofErr w:type="spellEnd"/>
      <w:r w:rsidR="0022263B">
        <w:rPr>
          <w:rFonts w:ascii="Verdana" w:hAnsi="Verdana"/>
          <w:color w:val="auto"/>
        </w:rPr>
        <w:t xml:space="preserve"> entgegen</w:t>
      </w:r>
      <w:r w:rsidR="00CC4902">
        <w:rPr>
          <w:rFonts w:ascii="Verdana" w:hAnsi="Verdana"/>
          <w:color w:val="auto"/>
        </w:rPr>
        <w:t>ge</w:t>
      </w:r>
      <w:r w:rsidR="0022263B">
        <w:rPr>
          <w:rFonts w:ascii="Verdana" w:hAnsi="Verdana"/>
          <w:color w:val="auto"/>
        </w:rPr>
        <w:t>wirkt</w:t>
      </w:r>
      <w:r w:rsidR="00C665AA">
        <w:rPr>
          <w:rFonts w:ascii="Verdana" w:hAnsi="Verdana"/>
          <w:color w:val="auto"/>
        </w:rPr>
        <w:t xml:space="preserve"> wird</w:t>
      </w:r>
      <w:r w:rsidR="0022263B">
        <w:rPr>
          <w:rFonts w:ascii="Verdana" w:hAnsi="Verdana"/>
          <w:color w:val="auto"/>
        </w:rPr>
        <w:t>.</w:t>
      </w:r>
    </w:p>
    <w:p w14:paraId="6F224CAF" w14:textId="77777777" w:rsidR="00B42843" w:rsidRPr="00FC0FAA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color w:val="auto"/>
        </w:rPr>
      </w:pPr>
    </w:p>
    <w:p w14:paraId="11E4CC7D" w14:textId="29E7D591" w:rsidR="00B42843" w:rsidRPr="00FC0FAA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  <w:bookmarkStart w:id="5" w:name="_Hlk57375092"/>
      <w:r w:rsidRPr="00FC0FAA">
        <w:rPr>
          <w:rFonts w:ascii="Verdana" w:hAnsi="Verdana"/>
          <w:color w:val="auto"/>
        </w:rPr>
        <w:t xml:space="preserve">G2-BOND Universal </w:t>
      </w:r>
      <w:r w:rsidR="00617E6A">
        <w:rPr>
          <w:rFonts w:ascii="Verdana" w:hAnsi="Verdana"/>
          <w:color w:val="auto"/>
        </w:rPr>
        <w:t>wurde nach dem letzten Stand der Technik als leistungsfähiges Adhäsiv</w:t>
      </w:r>
      <w:r w:rsidR="0090659B" w:rsidRPr="00FC0FAA">
        <w:rPr>
          <w:rFonts w:ascii="Verdana" w:hAnsi="Verdana"/>
          <w:color w:val="auto"/>
        </w:rPr>
        <w:t xml:space="preserve"> </w:t>
      </w:r>
      <w:r w:rsidR="00617E6A">
        <w:rPr>
          <w:rFonts w:ascii="Verdana" w:hAnsi="Verdana"/>
          <w:color w:val="auto"/>
        </w:rPr>
        <w:t xml:space="preserve">entwickelt und bietet </w:t>
      </w:r>
      <w:r w:rsidRPr="00FC0FAA">
        <w:rPr>
          <w:rFonts w:ascii="Verdana" w:hAnsi="Verdana"/>
          <w:color w:val="auto"/>
        </w:rPr>
        <w:t>Zahnärzten</w:t>
      </w:r>
      <w:r w:rsidR="00BC71BC">
        <w:rPr>
          <w:rFonts w:ascii="Verdana" w:hAnsi="Verdana"/>
          <w:color w:val="auto"/>
        </w:rPr>
        <w:t xml:space="preserve"> </w:t>
      </w:r>
      <w:r w:rsidR="00A35BA6">
        <w:rPr>
          <w:rFonts w:ascii="Verdana" w:hAnsi="Verdana"/>
          <w:color w:val="auto"/>
        </w:rPr>
        <w:t xml:space="preserve">die flexible Anwendung </w:t>
      </w:r>
      <w:proofErr w:type="gramStart"/>
      <w:r w:rsidR="00A35BA6">
        <w:rPr>
          <w:rFonts w:ascii="Verdana" w:hAnsi="Verdana"/>
          <w:color w:val="auto"/>
        </w:rPr>
        <w:t xml:space="preserve">entweder </w:t>
      </w:r>
      <w:r w:rsidR="00617E6A">
        <w:rPr>
          <w:rFonts w:ascii="Verdana" w:hAnsi="Verdana"/>
          <w:color w:val="auto"/>
        </w:rPr>
        <w:t xml:space="preserve"> s</w:t>
      </w:r>
      <w:r w:rsidRPr="00FC0FAA">
        <w:rPr>
          <w:rFonts w:ascii="Verdana" w:hAnsi="Verdana"/>
          <w:color w:val="auto"/>
        </w:rPr>
        <w:t>elbstätz</w:t>
      </w:r>
      <w:r w:rsidR="00617E6A">
        <w:rPr>
          <w:rFonts w:ascii="Verdana" w:hAnsi="Verdana"/>
          <w:color w:val="auto"/>
        </w:rPr>
        <w:t>end</w:t>
      </w:r>
      <w:proofErr w:type="gramEnd"/>
      <w:r w:rsidRPr="00FC0FAA">
        <w:rPr>
          <w:rFonts w:ascii="Verdana" w:hAnsi="Verdana"/>
          <w:color w:val="auto"/>
        </w:rPr>
        <w:t xml:space="preserve"> </w:t>
      </w:r>
      <w:r w:rsidR="00617E6A">
        <w:rPr>
          <w:rFonts w:ascii="Verdana" w:hAnsi="Verdana"/>
          <w:color w:val="auto"/>
        </w:rPr>
        <w:t>oder</w:t>
      </w:r>
      <w:r w:rsidRPr="00FC0FAA">
        <w:rPr>
          <w:rFonts w:ascii="Verdana" w:hAnsi="Verdana"/>
          <w:color w:val="auto"/>
        </w:rPr>
        <w:t xml:space="preserve"> </w:t>
      </w:r>
      <w:r w:rsidR="00A35BA6">
        <w:rPr>
          <w:rFonts w:ascii="Verdana" w:hAnsi="Verdana"/>
          <w:color w:val="auto"/>
        </w:rPr>
        <w:t>mit vorheriger Phosphorsäure-Ätzung</w:t>
      </w:r>
      <w:r w:rsidRPr="00FC0FAA">
        <w:rPr>
          <w:rFonts w:ascii="Verdana" w:hAnsi="Verdana"/>
          <w:color w:val="auto"/>
        </w:rPr>
        <w:t xml:space="preserve">. </w:t>
      </w:r>
      <w:bookmarkEnd w:id="5"/>
      <w:r w:rsidR="002039BB">
        <w:rPr>
          <w:rFonts w:ascii="Verdana" w:hAnsi="Verdana"/>
          <w:color w:val="auto"/>
        </w:rPr>
        <w:t>G2-Bond Universal bietet ein breites Indikationsspektrum</w:t>
      </w:r>
      <w:r w:rsidRPr="00FC0FAA">
        <w:rPr>
          <w:rFonts w:ascii="Verdana" w:hAnsi="Verdana"/>
          <w:color w:val="auto"/>
        </w:rPr>
        <w:t>, u.</w:t>
      </w:r>
      <w:r w:rsidR="00A24736">
        <w:rPr>
          <w:rFonts w:ascii="Verdana" w:hAnsi="Verdana"/>
          <w:color w:val="auto"/>
        </w:rPr>
        <w:t xml:space="preserve"> </w:t>
      </w:r>
      <w:r w:rsidRPr="00FC0FAA">
        <w:rPr>
          <w:rFonts w:ascii="Verdana" w:hAnsi="Verdana"/>
          <w:color w:val="auto"/>
        </w:rPr>
        <w:t xml:space="preserve">a. für direkte Restaurationen, </w:t>
      </w:r>
      <w:r w:rsidR="002039BB">
        <w:rPr>
          <w:rFonts w:ascii="Verdana" w:hAnsi="Verdana"/>
          <w:color w:val="auto"/>
        </w:rPr>
        <w:t xml:space="preserve">die IDS-technik (immediate </w:t>
      </w:r>
      <w:proofErr w:type="spellStart"/>
      <w:r w:rsidR="002039BB">
        <w:rPr>
          <w:rFonts w:ascii="Verdana" w:hAnsi="Verdana"/>
          <w:color w:val="auto"/>
        </w:rPr>
        <w:t>dentin</w:t>
      </w:r>
      <w:proofErr w:type="spellEnd"/>
      <w:r w:rsidR="002039BB">
        <w:rPr>
          <w:rFonts w:ascii="Verdana" w:hAnsi="Verdana"/>
          <w:color w:val="auto"/>
        </w:rPr>
        <w:t xml:space="preserve"> </w:t>
      </w:r>
      <w:proofErr w:type="spellStart"/>
      <w:r w:rsidR="002039BB">
        <w:rPr>
          <w:rFonts w:ascii="Verdana" w:hAnsi="Verdana"/>
          <w:color w:val="auto"/>
        </w:rPr>
        <w:t>sealing</w:t>
      </w:r>
      <w:proofErr w:type="spellEnd"/>
      <w:r w:rsidR="002039BB">
        <w:rPr>
          <w:rFonts w:ascii="Verdana" w:hAnsi="Verdana"/>
          <w:color w:val="auto"/>
        </w:rPr>
        <w:t>)</w:t>
      </w:r>
      <w:r w:rsidRPr="00FC0FAA">
        <w:rPr>
          <w:rFonts w:ascii="Verdana" w:hAnsi="Verdana"/>
          <w:color w:val="auto"/>
        </w:rPr>
        <w:t>, intraorale Reparaturen, zur Behandlung von Überempfindlichkeit</w:t>
      </w:r>
      <w:r w:rsidR="002039BB">
        <w:rPr>
          <w:rFonts w:ascii="Verdana" w:hAnsi="Verdana"/>
          <w:color w:val="auto"/>
        </w:rPr>
        <w:t>en</w:t>
      </w:r>
      <w:r w:rsidRPr="00FC0FAA">
        <w:rPr>
          <w:rFonts w:ascii="Verdana" w:hAnsi="Verdana"/>
          <w:color w:val="auto"/>
        </w:rPr>
        <w:t xml:space="preserve"> und </w:t>
      </w:r>
      <w:r w:rsidR="002039BB">
        <w:rPr>
          <w:rFonts w:ascii="Verdana" w:hAnsi="Verdana"/>
          <w:color w:val="auto"/>
        </w:rPr>
        <w:t>bei der</w:t>
      </w:r>
      <w:r w:rsidRPr="00FC0FAA">
        <w:rPr>
          <w:rFonts w:ascii="Verdana" w:hAnsi="Verdana"/>
          <w:color w:val="auto"/>
        </w:rPr>
        <w:t xml:space="preserve"> </w:t>
      </w:r>
      <w:r w:rsidR="004A401A" w:rsidRPr="00FC0FAA">
        <w:rPr>
          <w:rFonts w:ascii="Verdana" w:hAnsi="Verdana"/>
          <w:color w:val="auto"/>
        </w:rPr>
        <w:t>Befestig</w:t>
      </w:r>
      <w:r w:rsidR="002039BB">
        <w:rPr>
          <w:rFonts w:ascii="Verdana" w:hAnsi="Verdana"/>
          <w:color w:val="auto"/>
        </w:rPr>
        <w:t>ung</w:t>
      </w:r>
      <w:r w:rsidR="004A401A" w:rsidRPr="00FC0FAA">
        <w:rPr>
          <w:rFonts w:ascii="Verdana" w:hAnsi="Verdana"/>
          <w:color w:val="auto"/>
        </w:rPr>
        <w:t xml:space="preserve"> </w:t>
      </w:r>
      <w:r w:rsidRPr="00FC0FAA">
        <w:rPr>
          <w:rFonts w:ascii="Verdana" w:hAnsi="Verdana"/>
          <w:color w:val="auto"/>
        </w:rPr>
        <w:t xml:space="preserve">indirekter Restaurationen. </w:t>
      </w:r>
    </w:p>
    <w:p w14:paraId="11859514" w14:textId="77777777" w:rsidR="00B42843" w:rsidRPr="00FC0FAA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</w:p>
    <w:p w14:paraId="4CB4E68C" w14:textId="02DC5377" w:rsidR="00B42843" w:rsidRPr="00045164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auto"/>
        </w:rPr>
      </w:pPr>
      <w:r w:rsidRPr="00FC0FAA">
        <w:rPr>
          <w:rFonts w:ascii="Verdana" w:hAnsi="Verdana"/>
          <w:color w:val="auto"/>
        </w:rPr>
        <w:lastRenderedPageBreak/>
        <w:t xml:space="preserve">G2-BOND Universal </w:t>
      </w:r>
      <w:r w:rsidR="00045164">
        <w:rPr>
          <w:rFonts w:ascii="Verdana" w:hAnsi="Verdana"/>
          <w:color w:val="auto"/>
        </w:rPr>
        <w:t>wurde von</w:t>
      </w:r>
      <w:r w:rsidRPr="00FC0FAA">
        <w:rPr>
          <w:rFonts w:ascii="Verdana" w:hAnsi="Verdana"/>
          <w:color w:val="auto"/>
        </w:rPr>
        <w:t xml:space="preserve"> Zahnärzte</w:t>
      </w:r>
      <w:r w:rsidR="00045164">
        <w:rPr>
          <w:rFonts w:ascii="Verdana" w:hAnsi="Verdana"/>
          <w:color w:val="auto"/>
        </w:rPr>
        <w:t>n</w:t>
      </w:r>
      <w:r w:rsidRPr="00FC0FAA">
        <w:rPr>
          <w:rFonts w:ascii="Verdana" w:hAnsi="Verdana"/>
          <w:color w:val="auto"/>
        </w:rPr>
        <w:t xml:space="preserve"> aus aller Welt</w:t>
      </w:r>
      <w:r w:rsidR="00045164">
        <w:rPr>
          <w:rFonts w:ascii="Verdana" w:hAnsi="Verdana"/>
          <w:color w:val="auto"/>
        </w:rPr>
        <w:t xml:space="preserve"> in mehr als</w:t>
      </w:r>
      <w:r w:rsidRPr="00FC0FAA">
        <w:rPr>
          <w:rFonts w:ascii="Verdana" w:hAnsi="Verdana"/>
          <w:color w:val="auto"/>
        </w:rPr>
        <w:t xml:space="preserve"> 1.500 Restaurationen</w:t>
      </w:r>
      <w:r w:rsidR="00045164">
        <w:rPr>
          <w:rFonts w:ascii="Verdana" w:hAnsi="Verdana"/>
          <w:color w:val="auto"/>
        </w:rPr>
        <w:t xml:space="preserve"> klinisch getestet</w:t>
      </w:r>
      <w:r w:rsidR="00FB597D">
        <w:rPr>
          <w:rFonts w:ascii="Verdana" w:hAnsi="Verdana"/>
          <w:color w:val="auto"/>
        </w:rPr>
        <w:t>,</w:t>
      </w:r>
      <w:r w:rsidR="00045164">
        <w:rPr>
          <w:rFonts w:ascii="Verdana" w:hAnsi="Verdana"/>
          <w:color w:val="auto"/>
        </w:rPr>
        <w:t xml:space="preserve"> um die hohe Effektivität</w:t>
      </w:r>
      <w:r w:rsidR="004A401A" w:rsidRPr="00FC0FAA">
        <w:rPr>
          <w:rFonts w:ascii="Verdana" w:hAnsi="Verdana"/>
          <w:color w:val="auto"/>
        </w:rPr>
        <w:t xml:space="preserve"> </w:t>
      </w:r>
      <w:r w:rsidR="00045164">
        <w:rPr>
          <w:rFonts w:ascii="Verdana" w:hAnsi="Verdana"/>
          <w:color w:val="auto"/>
        </w:rPr>
        <w:t xml:space="preserve">der </w:t>
      </w:r>
      <w:r w:rsidRPr="00FC0FAA">
        <w:rPr>
          <w:rFonts w:ascii="Verdana" w:hAnsi="Verdana"/>
          <w:color w:val="auto"/>
        </w:rPr>
        <w:t>Versiegelung und d</w:t>
      </w:r>
      <w:r w:rsidR="00045164">
        <w:rPr>
          <w:rFonts w:ascii="Verdana" w:hAnsi="Verdana"/>
          <w:color w:val="auto"/>
        </w:rPr>
        <w:t>ie minimale Inzidenz von</w:t>
      </w:r>
      <w:r w:rsidRPr="00FC0FAA">
        <w:rPr>
          <w:rFonts w:ascii="Verdana" w:hAnsi="Verdana"/>
          <w:color w:val="auto"/>
        </w:rPr>
        <w:t xml:space="preserve"> postoperative</w:t>
      </w:r>
      <w:r w:rsidR="00045164">
        <w:rPr>
          <w:rFonts w:ascii="Verdana" w:hAnsi="Verdana"/>
          <w:color w:val="auto"/>
        </w:rPr>
        <w:t>n</w:t>
      </w:r>
      <w:r w:rsidRPr="00FC0FAA">
        <w:rPr>
          <w:rFonts w:ascii="Verdana" w:hAnsi="Verdana"/>
          <w:color w:val="auto"/>
        </w:rPr>
        <w:t xml:space="preserve"> Empfindlichkeit</w:t>
      </w:r>
      <w:r w:rsidR="00FB597D">
        <w:rPr>
          <w:rFonts w:ascii="Verdana" w:hAnsi="Verdana"/>
          <w:color w:val="auto"/>
        </w:rPr>
        <w:t>en</w:t>
      </w:r>
      <w:bookmarkStart w:id="6" w:name="_GoBack"/>
      <w:bookmarkEnd w:id="6"/>
      <w:r w:rsidR="00045164">
        <w:rPr>
          <w:rFonts w:ascii="Verdana" w:hAnsi="Verdana"/>
          <w:color w:val="auto"/>
        </w:rPr>
        <w:t xml:space="preserve"> zu belegen</w:t>
      </w:r>
      <w:r w:rsidRPr="00FC0FAA">
        <w:rPr>
          <w:rFonts w:ascii="Verdana" w:hAnsi="Verdana"/>
          <w:color w:val="auto"/>
        </w:rPr>
        <w:t>.</w:t>
      </w:r>
      <w:r w:rsidR="00832D88">
        <w:rPr>
          <w:rFonts w:ascii="Verdana" w:hAnsi="Verdana"/>
          <w:color w:val="auto"/>
        </w:rPr>
        <w:t xml:space="preserve"> Unabhängig von der verwendeten Ätztechnik waren die Kunden sehr zufrieden mit den Ergebnissen</w:t>
      </w:r>
      <w:r w:rsidR="00AE34A6">
        <w:rPr>
          <w:rFonts w:ascii="Verdana" w:hAnsi="Verdana"/>
          <w:color w:val="auto"/>
        </w:rPr>
        <w:t>.</w:t>
      </w:r>
      <w:r w:rsidRPr="00FC0FAA">
        <w:rPr>
          <w:rFonts w:ascii="Verdana" w:hAnsi="Verdana"/>
          <w:color w:val="auto"/>
        </w:rPr>
        <w:t xml:space="preserve"> Die teilnehmenden Zahnärzte lobten </w:t>
      </w:r>
      <w:r w:rsidR="004A401A" w:rsidRPr="00FC0FAA">
        <w:rPr>
          <w:rFonts w:ascii="Verdana" w:hAnsi="Verdana"/>
          <w:color w:val="auto"/>
        </w:rPr>
        <w:t>d</w:t>
      </w:r>
      <w:r w:rsidR="00AE34A6">
        <w:rPr>
          <w:rFonts w:ascii="Verdana" w:hAnsi="Verdana"/>
          <w:color w:val="auto"/>
        </w:rPr>
        <w:t>as</w:t>
      </w:r>
      <w:r w:rsidR="004A401A" w:rsidRPr="00FC0FAA">
        <w:rPr>
          <w:rFonts w:ascii="Verdana" w:hAnsi="Verdana"/>
          <w:color w:val="auto"/>
        </w:rPr>
        <w:t xml:space="preserve"> </w:t>
      </w:r>
      <w:r w:rsidRPr="00FC0FAA">
        <w:rPr>
          <w:rFonts w:ascii="Verdana" w:hAnsi="Verdana"/>
          <w:color w:val="auto"/>
        </w:rPr>
        <w:t xml:space="preserve">einfache </w:t>
      </w:r>
      <w:r w:rsidR="00AE34A6">
        <w:rPr>
          <w:rFonts w:ascii="Verdana" w:hAnsi="Verdana"/>
          <w:color w:val="auto"/>
        </w:rPr>
        <w:t>Anwendungsprotokoll und die angenehmen Verarbeitungseigenschaften.</w:t>
      </w:r>
    </w:p>
    <w:p w14:paraId="52FD713C" w14:textId="77777777" w:rsidR="00B42843" w:rsidRPr="00FC0FAA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</w:p>
    <w:p w14:paraId="5FEDE59C" w14:textId="6207921A" w:rsidR="00B42843" w:rsidRPr="00FC0FAA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  <w:r w:rsidRPr="00FC0FAA">
        <w:rPr>
          <w:rFonts w:ascii="Verdana" w:hAnsi="Verdana"/>
          <w:color w:val="auto"/>
        </w:rPr>
        <w:t>D</w:t>
      </w:r>
      <w:r w:rsidR="00CC4B66">
        <w:rPr>
          <w:rFonts w:ascii="Verdana" w:hAnsi="Verdana"/>
          <w:color w:val="auto"/>
        </w:rPr>
        <w:t xml:space="preserve">as </w:t>
      </w:r>
      <w:r w:rsidRPr="00FC0FAA">
        <w:rPr>
          <w:rFonts w:ascii="Verdana" w:hAnsi="Verdana"/>
          <w:color w:val="auto"/>
        </w:rPr>
        <w:t xml:space="preserve">ergonomische und charakteristische </w:t>
      </w:r>
      <w:r w:rsidR="00AA031A">
        <w:rPr>
          <w:rFonts w:ascii="Verdana" w:hAnsi="Verdana"/>
          <w:color w:val="auto"/>
        </w:rPr>
        <w:t>Flaschendesign</w:t>
      </w:r>
      <w:r w:rsidRPr="00FC0FAA">
        <w:rPr>
          <w:rFonts w:ascii="Verdana" w:hAnsi="Verdana"/>
          <w:color w:val="auto"/>
        </w:rPr>
        <w:t xml:space="preserve"> </w:t>
      </w:r>
      <w:r w:rsidR="00CC4B66">
        <w:rPr>
          <w:rFonts w:ascii="Verdana" w:hAnsi="Verdana"/>
          <w:color w:val="auto"/>
        </w:rPr>
        <w:t>macht</w:t>
      </w:r>
      <w:r w:rsidRPr="00FC0FAA">
        <w:rPr>
          <w:rFonts w:ascii="Verdana" w:hAnsi="Verdana"/>
          <w:color w:val="auto"/>
        </w:rPr>
        <w:t xml:space="preserve"> G2-BOND Universal </w:t>
      </w:r>
      <w:r w:rsidR="00CC4B66">
        <w:rPr>
          <w:rFonts w:ascii="Verdana" w:hAnsi="Verdana"/>
          <w:color w:val="auto"/>
        </w:rPr>
        <w:t>unverwechselbar</w:t>
      </w:r>
      <w:r w:rsidRPr="00FC0FAA">
        <w:rPr>
          <w:rFonts w:ascii="Verdana" w:hAnsi="Verdana"/>
          <w:color w:val="auto"/>
        </w:rPr>
        <w:t>. Es is</w:t>
      </w:r>
      <w:r w:rsidR="00CC4B66">
        <w:rPr>
          <w:rFonts w:ascii="Verdana" w:hAnsi="Verdana"/>
          <w:color w:val="auto"/>
        </w:rPr>
        <w:t>t ein</w:t>
      </w:r>
      <w:r w:rsidRPr="00FC0FAA">
        <w:rPr>
          <w:rFonts w:ascii="Verdana" w:hAnsi="Verdana"/>
          <w:color w:val="auto"/>
        </w:rPr>
        <w:t xml:space="preserve"> flex</w:t>
      </w:r>
      <w:r w:rsidR="00CC4B66">
        <w:rPr>
          <w:rFonts w:ascii="Verdana" w:hAnsi="Verdana"/>
          <w:color w:val="auto"/>
        </w:rPr>
        <w:t>ibel</w:t>
      </w:r>
      <w:r w:rsidRPr="00FC0FAA">
        <w:rPr>
          <w:rFonts w:ascii="Verdana" w:hAnsi="Verdana"/>
          <w:color w:val="auto"/>
        </w:rPr>
        <w:t xml:space="preserve"> einsetzbares Produkt</w:t>
      </w:r>
      <w:r w:rsidR="00CC4B66">
        <w:rPr>
          <w:rFonts w:ascii="Verdana" w:hAnsi="Verdana"/>
          <w:color w:val="auto"/>
        </w:rPr>
        <w:t xml:space="preserve"> für höchste Ansprüche in der adhäsiven Füllungstherapie unabhängig von der</w:t>
      </w:r>
      <w:r w:rsidRPr="00FC0FAA">
        <w:rPr>
          <w:rFonts w:ascii="Verdana" w:hAnsi="Verdana"/>
          <w:color w:val="auto"/>
        </w:rPr>
        <w:t xml:space="preserve"> </w:t>
      </w:r>
      <w:r w:rsidR="00C665AA">
        <w:rPr>
          <w:rFonts w:ascii="Verdana" w:hAnsi="Verdana"/>
          <w:color w:val="auto"/>
        </w:rPr>
        <w:t xml:space="preserve">gewünschten </w:t>
      </w:r>
      <w:r w:rsidRPr="00FC0FAA">
        <w:rPr>
          <w:rFonts w:ascii="Verdana" w:hAnsi="Verdana"/>
          <w:color w:val="auto"/>
        </w:rPr>
        <w:t>Ätztechnik</w:t>
      </w:r>
      <w:r w:rsidR="00A24736">
        <w:rPr>
          <w:rFonts w:ascii="Verdana" w:hAnsi="Verdana"/>
          <w:color w:val="auto"/>
        </w:rPr>
        <w:t>.</w:t>
      </w:r>
      <w:r w:rsidRPr="00FC0FAA">
        <w:rPr>
          <w:rFonts w:ascii="Verdana" w:hAnsi="Verdana"/>
          <w:color w:val="auto"/>
        </w:rPr>
        <w:t xml:space="preserve"> </w:t>
      </w:r>
    </w:p>
    <w:p w14:paraId="448E7135" w14:textId="77777777" w:rsidR="00B42843" w:rsidRPr="00FC0FAA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</w:rPr>
      </w:pPr>
    </w:p>
    <w:p w14:paraId="2799C86F" w14:textId="4AEE758A" w:rsidR="00B42843" w:rsidRPr="00FC0FAA" w:rsidRDefault="008058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auto"/>
          <w:sz w:val="24"/>
          <w:szCs w:val="24"/>
        </w:rPr>
      </w:pPr>
      <w:r w:rsidRPr="00FC0FAA">
        <w:rPr>
          <w:rFonts w:ascii="Verdana" w:hAnsi="Verdana"/>
          <w:color w:val="auto"/>
        </w:rPr>
        <w:t xml:space="preserve">Entdecken Sie </w:t>
      </w:r>
      <w:r w:rsidR="00C665AA">
        <w:rPr>
          <w:rFonts w:ascii="Verdana" w:hAnsi="Verdana"/>
          <w:color w:val="auto"/>
        </w:rPr>
        <w:t>ein</w:t>
      </w:r>
      <w:r w:rsidRPr="00FC0FAA">
        <w:rPr>
          <w:rFonts w:ascii="Verdana" w:hAnsi="Verdana"/>
          <w:color w:val="auto"/>
        </w:rPr>
        <w:t xml:space="preserve"> neue</w:t>
      </w:r>
      <w:r w:rsidR="00C665AA">
        <w:rPr>
          <w:rFonts w:ascii="Verdana" w:hAnsi="Verdana"/>
          <w:color w:val="auto"/>
        </w:rPr>
        <w:t>s,</w:t>
      </w:r>
      <w:r w:rsidRPr="00FC0FAA">
        <w:rPr>
          <w:rFonts w:ascii="Verdana" w:hAnsi="Verdana"/>
          <w:color w:val="auto"/>
        </w:rPr>
        <w:t xml:space="preserve"> </w:t>
      </w:r>
      <w:r w:rsidR="00C22A5F">
        <w:rPr>
          <w:rFonts w:ascii="Verdana" w:hAnsi="Verdana"/>
          <w:color w:val="auto"/>
        </w:rPr>
        <w:t>wegweisende</w:t>
      </w:r>
      <w:r w:rsidR="00C665AA">
        <w:rPr>
          <w:rFonts w:ascii="Verdana" w:hAnsi="Verdana"/>
          <w:color w:val="auto"/>
        </w:rPr>
        <w:t>s</w:t>
      </w:r>
      <w:r w:rsidR="00C22A5F">
        <w:rPr>
          <w:rFonts w:ascii="Verdana" w:hAnsi="Verdana"/>
          <w:color w:val="auto"/>
        </w:rPr>
        <w:t xml:space="preserve"> </w:t>
      </w:r>
      <w:r w:rsidR="004A401A" w:rsidRPr="00FC0FAA">
        <w:rPr>
          <w:rFonts w:ascii="Verdana" w:hAnsi="Verdana"/>
          <w:color w:val="auto"/>
        </w:rPr>
        <w:t>2-Flaschen</w:t>
      </w:r>
      <w:r w:rsidRPr="00FC0FAA">
        <w:rPr>
          <w:rFonts w:ascii="Verdana" w:hAnsi="Verdana"/>
          <w:color w:val="auto"/>
        </w:rPr>
        <w:t>-</w:t>
      </w:r>
      <w:r w:rsidR="004A401A" w:rsidRPr="00FC0FAA">
        <w:rPr>
          <w:rFonts w:ascii="Verdana" w:hAnsi="Verdana"/>
          <w:color w:val="auto"/>
        </w:rPr>
        <w:t>Adhäsiv</w:t>
      </w:r>
      <w:r w:rsidR="00C665AA">
        <w:rPr>
          <w:rFonts w:ascii="Verdana" w:hAnsi="Verdana"/>
          <w:color w:val="auto"/>
        </w:rPr>
        <w:t xml:space="preserve"> als Referenzprodukt mit überzeugenden Ergebnissen </w:t>
      </w:r>
      <w:r w:rsidR="001912E4">
        <w:rPr>
          <w:rFonts w:ascii="Verdana" w:hAnsi="Verdana"/>
          <w:color w:val="auto"/>
        </w:rPr>
        <w:t>und breitem Indikationsspektrum.</w:t>
      </w:r>
    </w:p>
    <w:p w14:paraId="51AB1D6B" w14:textId="77777777" w:rsidR="00B42843" w:rsidRPr="00FC0FAA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auto"/>
        </w:rPr>
      </w:pPr>
    </w:p>
    <w:p w14:paraId="3D19175B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b/>
          <w:bCs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b/>
          <w:bCs/>
          <w:color w:val="auto"/>
          <w:sz w:val="20"/>
          <w:szCs w:val="20"/>
          <w:u w:color="464646"/>
          <w:lang w:eastAsia="en-US"/>
        </w:rPr>
        <w:t>GC AUSTRIA GmbH</w:t>
      </w:r>
    </w:p>
    <w:p w14:paraId="06A1DB46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proofErr w:type="spellStart"/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Tallak</w:t>
      </w:r>
      <w:proofErr w:type="spellEnd"/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 xml:space="preserve"> 124</w:t>
      </w:r>
    </w:p>
    <w:p w14:paraId="0A65BE69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8103 Gratwein-Strassengel</w:t>
      </w:r>
    </w:p>
    <w:p w14:paraId="7C467B89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Österreich</w:t>
      </w:r>
    </w:p>
    <w:p w14:paraId="36FE3C38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</w:p>
    <w:p w14:paraId="5258F726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+43 3124 54 020</w:t>
      </w:r>
    </w:p>
    <w:p w14:paraId="3A0E5F98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+43 3124 54 020 40</w:t>
      </w:r>
    </w:p>
    <w:p w14:paraId="54762E8C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proofErr w:type="spellStart"/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info.austria@gc.dental</w:t>
      </w:r>
      <w:proofErr w:type="spellEnd"/>
    </w:p>
    <w:p w14:paraId="48A04FD9" w14:textId="5FE8D858" w:rsidR="00B42843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  <w:r w:rsidRPr="005B3A9D"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  <w:t>austria.gceurope.com</w:t>
      </w:r>
    </w:p>
    <w:p w14:paraId="02C08449" w14:textId="2E9F8F9B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 w:cs="Times New Roman"/>
          <w:color w:val="auto"/>
          <w:sz w:val="20"/>
          <w:szCs w:val="20"/>
          <w:u w:color="464646"/>
          <w:lang w:eastAsia="en-US"/>
        </w:rPr>
      </w:pPr>
    </w:p>
    <w:p w14:paraId="7EAA0D88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5B3A9D">
        <w:rPr>
          <w:rFonts w:ascii="Verdana" w:hAnsi="Verdana"/>
          <w:b/>
          <w:bCs/>
          <w:color w:val="auto"/>
          <w:sz w:val="20"/>
          <w:szCs w:val="20"/>
        </w:rPr>
        <w:t>GC AUSTRIA GmbH - Swiss Office</w:t>
      </w:r>
    </w:p>
    <w:p w14:paraId="5CD6045A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B3A9D">
        <w:rPr>
          <w:rFonts w:ascii="Verdana" w:hAnsi="Verdana"/>
          <w:color w:val="auto"/>
          <w:sz w:val="20"/>
          <w:szCs w:val="20"/>
        </w:rPr>
        <w:t>Zürichstrasse</w:t>
      </w:r>
      <w:proofErr w:type="spellEnd"/>
      <w:r w:rsidRPr="005B3A9D">
        <w:rPr>
          <w:rFonts w:ascii="Verdana" w:hAnsi="Verdana"/>
          <w:color w:val="auto"/>
          <w:sz w:val="20"/>
          <w:szCs w:val="20"/>
        </w:rPr>
        <w:t xml:space="preserve"> 31</w:t>
      </w:r>
    </w:p>
    <w:p w14:paraId="1971EAE8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6004 Luzern</w:t>
      </w:r>
    </w:p>
    <w:p w14:paraId="424D8393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Schweiz</w:t>
      </w:r>
    </w:p>
    <w:p w14:paraId="32BD6835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</w:p>
    <w:p w14:paraId="27538FDF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+41 41 520 01 78</w:t>
      </w:r>
    </w:p>
    <w:p w14:paraId="4BC336F4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+41 41 520 01 77</w:t>
      </w:r>
    </w:p>
    <w:p w14:paraId="1B1FF96C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B3A9D">
        <w:rPr>
          <w:rFonts w:ascii="Verdana" w:hAnsi="Verdana"/>
          <w:color w:val="auto"/>
          <w:sz w:val="20"/>
          <w:szCs w:val="20"/>
        </w:rPr>
        <w:t>info.switzerland@gc.dental</w:t>
      </w:r>
      <w:proofErr w:type="spellEnd"/>
    </w:p>
    <w:p w14:paraId="3A54F1CC" w14:textId="34B0625A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switzerland.gceurope.com</w:t>
      </w:r>
    </w:p>
    <w:p w14:paraId="4A704503" w14:textId="6DB9E06C" w:rsidR="00A24736" w:rsidRPr="005B3A9D" w:rsidRDefault="00A24736" w:rsidP="00E4135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</w:p>
    <w:p w14:paraId="3905B5D3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5B3A9D">
        <w:rPr>
          <w:rFonts w:ascii="Verdana" w:hAnsi="Verdana"/>
          <w:b/>
          <w:bCs/>
          <w:color w:val="auto"/>
          <w:sz w:val="20"/>
          <w:szCs w:val="20"/>
        </w:rPr>
        <w:t>GC Germany GmbH</w:t>
      </w:r>
    </w:p>
    <w:p w14:paraId="2B1D30E0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B3A9D">
        <w:rPr>
          <w:rFonts w:ascii="Verdana" w:hAnsi="Verdana"/>
          <w:color w:val="auto"/>
          <w:sz w:val="20"/>
          <w:szCs w:val="20"/>
        </w:rPr>
        <w:t>Seifgrundstr</w:t>
      </w:r>
      <w:proofErr w:type="spellEnd"/>
      <w:r w:rsidRPr="005B3A9D">
        <w:rPr>
          <w:rFonts w:ascii="Verdana" w:hAnsi="Verdana"/>
          <w:color w:val="auto"/>
          <w:sz w:val="20"/>
          <w:szCs w:val="20"/>
        </w:rPr>
        <w:t>. 2</w:t>
      </w:r>
    </w:p>
    <w:p w14:paraId="19E8D752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61348 Bad Homburg</w:t>
      </w:r>
    </w:p>
    <w:p w14:paraId="14992561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Deutschland</w:t>
      </w:r>
    </w:p>
    <w:p w14:paraId="523BC3BE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</w:p>
    <w:p w14:paraId="59D13121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+49 6172 99 596 0</w:t>
      </w:r>
    </w:p>
    <w:p w14:paraId="4956A86A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+49 6172 99 596 66</w:t>
      </w:r>
    </w:p>
    <w:p w14:paraId="1C87B3CA" w14:textId="77777777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B3A9D">
        <w:rPr>
          <w:rFonts w:ascii="Verdana" w:hAnsi="Verdana"/>
          <w:color w:val="auto"/>
          <w:sz w:val="20"/>
          <w:szCs w:val="20"/>
        </w:rPr>
        <w:t>info.germany@gc.dental</w:t>
      </w:r>
      <w:proofErr w:type="spellEnd"/>
    </w:p>
    <w:p w14:paraId="0EE38540" w14:textId="1D091896" w:rsidR="005B3A9D" w:rsidRPr="005B3A9D" w:rsidRDefault="005B3A9D" w:rsidP="005B3A9D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  <w:sz w:val="20"/>
          <w:szCs w:val="20"/>
        </w:rPr>
      </w:pPr>
      <w:r w:rsidRPr="005B3A9D">
        <w:rPr>
          <w:rFonts w:ascii="Verdana" w:hAnsi="Verdana"/>
          <w:color w:val="auto"/>
          <w:sz w:val="20"/>
          <w:szCs w:val="20"/>
        </w:rPr>
        <w:t>germany.gceurope.com</w:t>
      </w:r>
    </w:p>
    <w:p w14:paraId="3758F129" w14:textId="77777777" w:rsidR="00A24736" w:rsidRPr="005B3A9D" w:rsidRDefault="00A24736" w:rsidP="00E4135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auto"/>
        </w:rPr>
      </w:pPr>
    </w:p>
    <w:sectPr w:rsidR="00A24736" w:rsidRPr="005B3A9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941FC" w14:textId="77777777" w:rsidR="009D3D02" w:rsidRDefault="009D3D02">
      <w:r>
        <w:separator/>
      </w:r>
    </w:p>
  </w:endnote>
  <w:endnote w:type="continuationSeparator" w:id="0">
    <w:p w14:paraId="0FA15634" w14:textId="77777777" w:rsidR="009D3D02" w:rsidRDefault="009D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02343" w14:textId="77777777" w:rsidR="009D3D02" w:rsidRDefault="009D3D02">
      <w:r>
        <w:separator/>
      </w:r>
    </w:p>
  </w:footnote>
  <w:footnote w:type="continuationSeparator" w:id="0">
    <w:p w14:paraId="0B0B7960" w14:textId="77777777" w:rsidR="009D3D02" w:rsidRDefault="009D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3"/>
    <w:rsid w:val="00045164"/>
    <w:rsid w:val="000D409A"/>
    <w:rsid w:val="001912E4"/>
    <w:rsid w:val="002039BB"/>
    <w:rsid w:val="0022263B"/>
    <w:rsid w:val="002A76D4"/>
    <w:rsid w:val="002B5D68"/>
    <w:rsid w:val="003D0BF0"/>
    <w:rsid w:val="004A401A"/>
    <w:rsid w:val="005B3A9D"/>
    <w:rsid w:val="00617E6A"/>
    <w:rsid w:val="007377D2"/>
    <w:rsid w:val="00751121"/>
    <w:rsid w:val="00762250"/>
    <w:rsid w:val="0080581C"/>
    <w:rsid w:val="00832D88"/>
    <w:rsid w:val="0090659B"/>
    <w:rsid w:val="00914B3E"/>
    <w:rsid w:val="009D3D02"/>
    <w:rsid w:val="00A24736"/>
    <w:rsid w:val="00A35BA6"/>
    <w:rsid w:val="00AA031A"/>
    <w:rsid w:val="00AE34A6"/>
    <w:rsid w:val="00B42843"/>
    <w:rsid w:val="00B557E5"/>
    <w:rsid w:val="00B768C8"/>
    <w:rsid w:val="00BC71BC"/>
    <w:rsid w:val="00C22A5F"/>
    <w:rsid w:val="00C33F2E"/>
    <w:rsid w:val="00C665AA"/>
    <w:rsid w:val="00CC4902"/>
    <w:rsid w:val="00CC4B66"/>
    <w:rsid w:val="00CD3457"/>
    <w:rsid w:val="00DB623A"/>
    <w:rsid w:val="00E4135C"/>
    <w:rsid w:val="00F33973"/>
    <w:rsid w:val="00F35342"/>
    <w:rsid w:val="00F64371"/>
    <w:rsid w:val="00FB597D"/>
    <w:rsid w:val="00F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EABFAB"/>
  <w15:docId w15:val="{A4C6D261-1AA9-4D10-AEC3-8A5987A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AA">
    <w:name w:val="Body A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7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A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A5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7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9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3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6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Behle, Kerstin</dc:creator>
  <cp:lastModifiedBy>Taeleman, Liesbeth</cp:lastModifiedBy>
  <cp:revision>15</cp:revision>
  <dcterms:created xsi:type="dcterms:W3CDTF">2020-12-17T16:22:00Z</dcterms:created>
  <dcterms:modified xsi:type="dcterms:W3CDTF">2021-01-13T14:38:00Z</dcterms:modified>
</cp:coreProperties>
</file>