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412FA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7772D56D" w:rsidR="005E08DE" w:rsidRPr="00412FAC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r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Press </w:t>
      </w:r>
      <w:r w:rsidR="00283ABD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R</w:t>
      </w:r>
      <w:r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elease</w:t>
      </w:r>
      <w:r w:rsidR="00016817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, </w:t>
      </w:r>
      <w:r w:rsidR="005F21AB">
        <w:rPr>
          <w:rFonts w:ascii="Verdana" w:hAnsi="Verdana"/>
          <w:b/>
          <w:bCs/>
          <w:color w:val="464646"/>
          <w:sz w:val="20"/>
          <w:u w:val="single"/>
          <w:lang w:val="en-GB"/>
        </w:rPr>
        <w:t>November</w:t>
      </w:r>
      <w:r w:rsidR="3B3118C8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 </w:t>
      </w:r>
      <w:r w:rsidR="00A64EED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2021</w:t>
      </w:r>
    </w:p>
    <w:p w14:paraId="22D82C8C" w14:textId="77777777" w:rsidR="00597B4B" w:rsidRPr="00412FAC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4666790F" w14:textId="77777777" w:rsidR="00CB4A0E" w:rsidRPr="00412FAC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</w:p>
    <w:p w14:paraId="4B0D29B5" w14:textId="77777777" w:rsidR="005F21AB" w:rsidRPr="005F21AB" w:rsidRDefault="005F21AB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</w:rPr>
      </w:pPr>
      <w:r w:rsidRPr="005F21AB">
        <w:rPr>
          <w:rFonts w:ascii="Verdana" w:hAnsi="Verdana"/>
          <w:b/>
          <w:color w:val="464646"/>
          <w:sz w:val="36"/>
          <w:szCs w:val="36"/>
        </w:rPr>
        <w:t>GC symposium addresses the challenges of an ageing population</w:t>
      </w:r>
    </w:p>
    <w:p w14:paraId="60A9CED9" w14:textId="4E2C7CA6" w:rsidR="00CB4A0E" w:rsidRDefault="005F21AB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</w:rPr>
      </w:pPr>
      <w:r w:rsidRPr="005F21AB">
        <w:rPr>
          <w:rFonts w:ascii="Verdana" w:hAnsi="Verdana"/>
          <w:bCs/>
          <w:color w:val="464646"/>
          <w:sz w:val="32"/>
          <w:szCs w:val="32"/>
        </w:rPr>
        <w:t xml:space="preserve">LEUVEN, Belgium: Earlier this autumn, the Continental European division of the International Association for Dental Research (CED-IADR), together with the association’s Scandinavian division (NOF), welcomed more than 500 participants from 47 countries all over the world at the 2021 hybrid CED-IADR/NOF oral health research congress in Brussels in Belgium. The event, held over two and a half days in September, offered a broad scientific </w:t>
      </w:r>
      <w:proofErr w:type="spellStart"/>
      <w:r w:rsidRPr="005F21AB">
        <w:rPr>
          <w:rFonts w:ascii="Verdana" w:hAnsi="Verdana"/>
          <w:bCs/>
          <w:color w:val="464646"/>
          <w:sz w:val="32"/>
          <w:szCs w:val="32"/>
        </w:rPr>
        <w:t>programme</w:t>
      </w:r>
      <w:proofErr w:type="spellEnd"/>
      <w:r w:rsidRPr="005F21AB">
        <w:rPr>
          <w:rFonts w:ascii="Verdana" w:hAnsi="Verdana"/>
          <w:bCs/>
          <w:color w:val="464646"/>
          <w:sz w:val="32"/>
          <w:szCs w:val="32"/>
        </w:rPr>
        <w:t xml:space="preserve"> consisting of state-of-the-art symposia, keynote lectures and presentations by researchers from Europe and beyond.</w:t>
      </w:r>
    </w:p>
    <w:p w14:paraId="1BB6D0F0" w14:textId="77777777" w:rsidR="005F21AB" w:rsidRPr="005F21AB" w:rsidRDefault="005F21AB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</w:rPr>
      </w:pPr>
    </w:p>
    <w:p w14:paraId="27719C96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  <w:r w:rsidRPr="005F21AB">
        <w:rPr>
          <w:rFonts w:ascii="Verdana" w:hAnsi="Verdana"/>
          <w:bCs/>
          <w:color w:val="464646"/>
          <w:szCs w:val="24"/>
        </w:rPr>
        <w:t xml:space="preserve">On the first day, GC Europe hosted a symposium focusing on the challenges of an ageing population with respect to cervical lesions. The symposium, chaired by Prof. 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Avijit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 xml:space="preserve"> Banerjee (King’s College London, UK), was opened by Prof. Jo 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Frencken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 xml:space="preserve"> (Radboud University, Netherlands) with consensus recommendations for the primary and secondary prevention of root caries lesions and their operative management.</w:t>
      </w:r>
    </w:p>
    <w:p w14:paraId="4C90DB77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</w:p>
    <w:p w14:paraId="6C404E2D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  <w:r w:rsidRPr="005F21AB">
        <w:rPr>
          <w:rFonts w:ascii="Verdana" w:hAnsi="Verdana"/>
          <w:bCs/>
          <w:color w:val="464646"/>
          <w:szCs w:val="24"/>
        </w:rPr>
        <w:t xml:space="preserve">Being a founding father of atraumatic restorative treatment (ART), he 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emphasised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 xml:space="preserve"> its ease of application and effectiveness of its use in modern caries management. According to Prof. 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Frencken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 xml:space="preserve">, ART with high-viscosity </w:t>
      </w:r>
      <w:r w:rsidRPr="005F21AB">
        <w:rPr>
          <w:rFonts w:ascii="Verdana" w:hAnsi="Verdana"/>
          <w:bCs/>
          <w:color w:val="464646"/>
          <w:szCs w:val="24"/>
        </w:rPr>
        <w:lastRenderedPageBreak/>
        <w:t>glass ionomer cement has been proved to be a successful approach to managing root surface caries.</w:t>
      </w:r>
    </w:p>
    <w:p w14:paraId="7A040E67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</w:p>
    <w:p w14:paraId="08A98194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  <w:r w:rsidRPr="005F21AB">
        <w:rPr>
          <w:rFonts w:ascii="Verdana" w:hAnsi="Verdana"/>
          <w:bCs/>
          <w:color w:val="464646"/>
          <w:szCs w:val="24"/>
        </w:rPr>
        <w:t xml:space="preserve">The next speaker was Prof. Falk 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Schwendicke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 xml:space="preserve"> (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Charité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>—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Universitätsmedizin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 xml:space="preserve"> Berlin, Germany), who pointed out the importance of cost assessment of treatment. The prevalence of non-carious cervical lesions increases with age. The first focus should always be on prevention and non-restorative treatment. However, when the treatment fails or symptoms arise, restorative treatment is unavoidable. In his clinical study on EQUIA Forte for Class V restorations, he demonstrated not only the good performance and advantages of glass hybrid restoratives but also their cost-effectiveness, being 20% less costly than composite over the three-year follow-up period.</w:t>
      </w:r>
    </w:p>
    <w:p w14:paraId="69DCBD7D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</w:p>
    <w:p w14:paraId="545E637D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  <w:r w:rsidRPr="005F21AB">
        <w:rPr>
          <w:rFonts w:ascii="Verdana" w:hAnsi="Verdana"/>
          <w:bCs/>
          <w:color w:val="464646"/>
          <w:szCs w:val="24"/>
        </w:rPr>
        <w:t xml:space="preserve">The series of lectures was closed by Dr Gerry McKenna (Queen’s University Belfast, UK), who provided a broad overview on ways to </w:t>
      </w:r>
      <w:proofErr w:type="spellStart"/>
      <w:r w:rsidRPr="005F21AB">
        <w:rPr>
          <w:rFonts w:ascii="Verdana" w:hAnsi="Verdana"/>
          <w:bCs/>
          <w:color w:val="464646"/>
          <w:szCs w:val="24"/>
        </w:rPr>
        <w:t>optimise</w:t>
      </w:r>
      <w:proofErr w:type="spellEnd"/>
      <w:r w:rsidRPr="005F21AB">
        <w:rPr>
          <w:rFonts w:ascii="Verdana" w:hAnsi="Verdana"/>
          <w:bCs/>
          <w:color w:val="464646"/>
          <w:szCs w:val="24"/>
        </w:rPr>
        <w:t xml:space="preserve"> treatment for older adults. In addition to preventive care and preservation of natural teeth, he recommended that tooth replacement follow a functionally oriented approach. At the end of the day, Prof. Banerjee moderated a Q &amp; A session during which the participants could resume the discussion on this trending topic.</w:t>
      </w:r>
    </w:p>
    <w:p w14:paraId="441B8EA6" w14:textId="77777777" w:rsidR="005F21AB" w:rsidRPr="005F21AB" w:rsidRDefault="005F21AB" w:rsidP="005F21AB">
      <w:pPr>
        <w:spacing w:line="360" w:lineRule="auto"/>
        <w:rPr>
          <w:rFonts w:ascii="Verdana" w:hAnsi="Verdana"/>
          <w:bCs/>
          <w:color w:val="464646"/>
          <w:szCs w:val="24"/>
        </w:rPr>
      </w:pPr>
    </w:p>
    <w:p w14:paraId="03C6F5B0" w14:textId="703C40C8" w:rsidR="004E4E02" w:rsidRPr="005F21AB" w:rsidRDefault="005F21AB" w:rsidP="005F21AB">
      <w:pPr>
        <w:spacing w:line="360" w:lineRule="auto"/>
        <w:rPr>
          <w:rFonts w:ascii="Verdana" w:hAnsi="Verdana"/>
          <w:color w:val="464646"/>
          <w:szCs w:val="24"/>
          <w:u w:val="single"/>
        </w:rPr>
      </w:pPr>
      <w:r w:rsidRPr="005F21AB">
        <w:rPr>
          <w:rFonts w:ascii="Verdana" w:hAnsi="Verdana"/>
          <w:bCs/>
          <w:color w:val="464646"/>
          <w:szCs w:val="24"/>
        </w:rPr>
        <w:t>Having attracted over 100 participants online and on-site, the symposium was a great success.</w:t>
      </w:r>
    </w:p>
    <w:p w14:paraId="67ED928F" w14:textId="77777777" w:rsidR="004E4E02" w:rsidRPr="005F21AB" w:rsidRDefault="004E4E02" w:rsidP="004E4E02">
      <w:pPr>
        <w:spacing w:line="360" w:lineRule="auto"/>
        <w:rPr>
          <w:rFonts w:ascii="Verdana" w:hAnsi="Verdana"/>
          <w:b/>
          <w:color w:val="464646"/>
          <w:sz w:val="22"/>
          <w:szCs w:val="28"/>
        </w:rPr>
      </w:pPr>
    </w:p>
    <w:p w14:paraId="0129BCAE" w14:textId="77777777" w:rsidR="005F21AB" w:rsidRPr="00F01F6E" w:rsidRDefault="005F21AB" w:rsidP="005F21AB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F01F6E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39380EB7" w14:textId="77777777" w:rsidR="005F21AB" w:rsidRPr="00F72D1F" w:rsidRDefault="005F21AB" w:rsidP="005F21A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F72D1F">
        <w:rPr>
          <w:rFonts w:ascii="Verdana" w:hAnsi="Verdana"/>
          <w:sz w:val="20"/>
          <w:szCs w:val="20"/>
          <w:lang w:val="de-DE"/>
        </w:rPr>
        <w:t>Zuerichstrasse</w:t>
      </w:r>
      <w:proofErr w:type="spellEnd"/>
      <w:r w:rsidRPr="00F72D1F">
        <w:rPr>
          <w:rFonts w:ascii="Verdana" w:hAnsi="Verdana"/>
          <w:sz w:val="20"/>
          <w:szCs w:val="20"/>
          <w:lang w:val="de-DE"/>
        </w:rPr>
        <w:t xml:space="preserve"> 31</w:t>
      </w:r>
    </w:p>
    <w:p w14:paraId="36996277" w14:textId="77777777" w:rsidR="005F21AB" w:rsidRPr="00F72D1F" w:rsidRDefault="005F21AB" w:rsidP="005F21A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 xml:space="preserve">6004 Lucerne </w:t>
      </w:r>
      <w:proofErr w:type="spellStart"/>
      <w:r w:rsidRPr="00F72D1F">
        <w:rPr>
          <w:rFonts w:ascii="Verdana" w:hAnsi="Verdana"/>
          <w:sz w:val="20"/>
          <w:szCs w:val="20"/>
          <w:lang w:val="de-DE"/>
        </w:rPr>
        <w:t>Switzerland</w:t>
      </w:r>
      <w:proofErr w:type="spellEnd"/>
    </w:p>
    <w:p w14:paraId="35634852" w14:textId="77777777" w:rsidR="005F21AB" w:rsidRPr="00F72D1F" w:rsidRDefault="005F21AB" w:rsidP="005F21AB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CDA4A81" w14:textId="77777777" w:rsidR="005F21AB" w:rsidRDefault="005F21AB" w:rsidP="005F21A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hyperlink r:id="rId11" w:history="1">
        <w:r w:rsidRPr="00F72D1F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2" w:history="1">
        <w:r w:rsidRPr="005102D5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p w14:paraId="1D69131A" w14:textId="77777777" w:rsidR="005F21AB" w:rsidRDefault="005F21AB" w:rsidP="005F21A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0D6E4976" w14:textId="77777777" w:rsidR="005F21AB" w:rsidRDefault="005F21AB" w:rsidP="005F21AB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</w:p>
    <w:p w14:paraId="630E96EC" w14:textId="1C2D359B" w:rsidR="005F21AB" w:rsidRPr="00BF6BCE" w:rsidRDefault="005F21AB" w:rsidP="005F21AB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r w:rsidRPr="00BF6BCE">
        <w:rPr>
          <w:rFonts w:ascii="Verdana" w:hAnsi="Verdana"/>
          <w:color w:val="404040"/>
          <w:lang w:val="en-US"/>
        </w:rPr>
        <w:lastRenderedPageBreak/>
        <w:t>Original publication</w:t>
      </w:r>
    </w:p>
    <w:p w14:paraId="41C0CAB4" w14:textId="403AF044" w:rsidR="005F21AB" w:rsidRPr="00F01F6E" w:rsidRDefault="005F21AB" w:rsidP="005F21AB">
      <w:pPr>
        <w:pStyle w:val="Text"/>
        <w:spacing w:line="360" w:lineRule="auto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 xml:space="preserve">Dental Tribune International – </w:t>
      </w:r>
      <w:r>
        <w:rPr>
          <w:rFonts w:ascii="Verdana" w:hAnsi="Verdana"/>
          <w:color w:val="404040"/>
          <w:sz w:val="16"/>
          <w:szCs w:val="16"/>
          <w:lang w:val="en-US"/>
        </w:rPr>
        <w:t>12</w:t>
      </w:r>
      <w:r w:rsidRPr="00F01F6E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th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of </w:t>
      </w:r>
      <w:r>
        <w:rPr>
          <w:rFonts w:ascii="Verdana" w:hAnsi="Verdana"/>
          <w:color w:val="404040"/>
          <w:sz w:val="16"/>
          <w:szCs w:val="16"/>
          <w:lang w:val="en-US"/>
        </w:rPr>
        <w:t>November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2021</w:t>
      </w:r>
      <w:r>
        <w:rPr>
          <w:rFonts w:ascii="Verdana" w:hAnsi="Verdana"/>
          <w:color w:val="404040"/>
          <w:sz w:val="16"/>
          <w:szCs w:val="16"/>
          <w:lang w:val="en-US"/>
        </w:rPr>
        <w:br/>
      </w:r>
      <w:r w:rsidRPr="005F21AB">
        <w:rPr>
          <w:lang w:val="en-US"/>
        </w:rPr>
        <w:t>https://www.dental-tribune.com/news/gc-symposium-addresses-the-challenges-of-an-ageing-population/</w:t>
      </w:r>
      <w:bookmarkStart w:id="0" w:name="_GoBack"/>
      <w:bookmarkEnd w:id="0"/>
    </w:p>
    <w:p w14:paraId="36B07233" w14:textId="23D505D0" w:rsidR="00F348B6" w:rsidRPr="005F21AB" w:rsidRDefault="00F348B6" w:rsidP="004E4E02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F348B6" w:rsidRPr="005F21AB" w:rsidSect="002C5C47">
      <w:headerReference w:type="default" r:id="rId13"/>
      <w:footerReference w:type="default" r:id="rId14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4E0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21AB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13D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5F21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cia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65EB8F-3551-4634-83D2-6C12E27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2021-11-15T08:42:00Z</dcterms:created>
  <dcterms:modified xsi:type="dcterms:W3CDTF">2021-11-15T08:42:00Z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