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7772D56D" w:rsidR="005E08DE" w:rsidRPr="002E6E75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it-IT"/>
        </w:rPr>
      </w:pPr>
      <w:r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Press </w:t>
      </w:r>
      <w:r w:rsidR="00283ABD"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>R</w:t>
      </w:r>
      <w:r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>elease</w:t>
      </w:r>
      <w:r w:rsidR="00016817"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, </w:t>
      </w:r>
      <w:r w:rsidR="005F21AB"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>November</w:t>
      </w:r>
      <w:r w:rsidR="3B3118C8"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 xml:space="preserve"> </w:t>
      </w:r>
      <w:r w:rsidR="00A64EED" w:rsidRPr="002E6E75">
        <w:rPr>
          <w:rFonts w:ascii="Verdana" w:hAnsi="Verdana"/>
          <w:b/>
          <w:bCs/>
          <w:color w:val="464646"/>
          <w:sz w:val="20"/>
          <w:u w:val="single"/>
          <w:lang w:val="it-IT"/>
        </w:rPr>
        <w:t>2021</w:t>
      </w:r>
    </w:p>
    <w:p w14:paraId="22D82C8C" w14:textId="77777777" w:rsidR="00597B4B" w:rsidRPr="002E6E75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it-IT"/>
        </w:rPr>
      </w:pPr>
    </w:p>
    <w:p w14:paraId="4666790F" w14:textId="77777777" w:rsidR="00CB4A0E" w:rsidRPr="002E6E75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it-IT"/>
        </w:rPr>
      </w:pPr>
    </w:p>
    <w:p w14:paraId="67110CB8" w14:textId="1421DD5E" w:rsidR="00C735B9" w:rsidRPr="002E6E75" w:rsidRDefault="00C735B9" w:rsidP="004E4E02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it-IT"/>
        </w:rPr>
      </w:pPr>
    </w:p>
    <w:p w14:paraId="616A9C3E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36"/>
          <w:szCs w:val="36"/>
          <w:u w:val="none"/>
          <w:lang w:val="it-IT"/>
        </w:rPr>
      </w:pPr>
      <w:r w:rsidRPr="002E6E75">
        <w:rPr>
          <w:rStyle w:val="Hyperlink"/>
          <w:rFonts w:ascii="Verdana" w:hAnsi="Verdana"/>
          <w:b/>
          <w:bCs/>
          <w:color w:val="auto"/>
          <w:sz w:val="36"/>
          <w:szCs w:val="36"/>
          <w:u w:val="none"/>
          <w:lang w:val="it-IT"/>
        </w:rPr>
        <w:t>Il simposio GC affronta le sfide di una popolazione che invecchia</w:t>
      </w:r>
    </w:p>
    <w:p w14:paraId="12F5AF48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32"/>
          <w:szCs w:val="32"/>
          <w:u w:val="none"/>
          <w:lang w:val="it-IT"/>
        </w:rPr>
      </w:pPr>
    </w:p>
    <w:p w14:paraId="51F8EC9C" w14:textId="7C6A3EBC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32"/>
          <w:szCs w:val="32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sz w:val="32"/>
          <w:szCs w:val="32"/>
          <w:u w:val="none"/>
          <w:lang w:val="it-IT"/>
        </w:rPr>
        <w:t>LEUVEN, Belgio: All'inizio di questo autunno, la divisione europea dell'Associazione internazionale per la ricerca dentale (CED-IADR), insieme alla divisione scandinava dell'associazione (NOF), ha accolto più di 500 partecipanti provenienti da 47 paesi di tutto il mondo al 2021 Congresso ibrido CED-IADR/NOF di ricerca sulla salute orale a Bruxelles in Belgio. L'evento, che si è svolto nell'arco di due giorni e mezzo a settembre, ha offerto un ampio programma scientifico costituito da simposi all'avanguardia, conferenze e presentazioni di ricercatori europei e non.</w:t>
      </w:r>
    </w:p>
    <w:p w14:paraId="559A00B3" w14:textId="77777777" w:rsidR="00C735B9" w:rsidRPr="00C735B9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it-IT"/>
        </w:rPr>
      </w:pPr>
    </w:p>
    <w:p w14:paraId="1019BFAD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Il primo giorno, GC Europe ha ospitato un simposio incentrato sulle sfide di una popolazione che invecchia rispetto alle lesioni cervicali. Il simposio, presieduto dal Prof.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Avijit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Banerjee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(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King's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College London, UK), è stato aperto dal Prof.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Jo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Frencken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(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Radboud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University, Paesi Bassi) con raccomandazioni di consenso per la prevenzione primaria e secondaria delle lesioni da carie radicolare e la loro gestione operativa.</w:t>
      </w:r>
    </w:p>
    <w:p w14:paraId="46DB11DC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</w:p>
    <w:p w14:paraId="5D48FFBC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u w:val="none"/>
          <w:lang w:val="it-IT"/>
        </w:rPr>
        <w:lastRenderedPageBreak/>
        <w:t xml:space="preserve">Essendo un padre fondatore del trattamento restaurativo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atraumatico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(ART), ha sottolineato la sua facilità di applicazione e l'efficacia del suo utilizzo nella moderna gestione della carie. Secondo il prof.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Frencken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, l'ART con cemento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vetroionomerico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ad alta viscosità si è dimostrato un approccio di successo alla gestione della carie della superficie radicolare.</w:t>
      </w:r>
    </w:p>
    <w:p w14:paraId="5487AED4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</w:p>
    <w:p w14:paraId="744AEB8E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Il relatore successivo è stato il Prof. Falk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Schwendicke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(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Charité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>—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Universitätsmedizin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Berlin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>, Germania), che ha sottolineato l'importanza della valutazione dei costi del trattamento. La prevalenza delle lesioni cervicali non cariose aumenta con l'età. Il primo obiettivo dovrebbe sempre essere la prevenzione e il trattamento non riparativo. Tuttavia, quando il trattamento fallisce o si manifestano sintomi, il trattamento riparativo è inevitabile. Nel suo studio clinico su EQUIA Forte per restauri di classe V, ha dimostrato non solo le buone prestazioni e i vantaggi dei restauri ibridi di vetro, ma anche la loro convenienza, essendo il 20% meno costoso del composito nel periodo di follow-up di tre anni.</w:t>
      </w:r>
    </w:p>
    <w:p w14:paraId="793BA00B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</w:p>
    <w:p w14:paraId="7F77B0C4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u w:val="none"/>
          <w:lang w:val="it-IT"/>
        </w:rPr>
        <w:t>La serie di conferenze è stata chiusa dal dott. Gerry McKenna (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Queen's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University Belfast, Regno Unito), che ha fornito un'ampia panoramica sui modi per ottimizzare il trattamento per gli anziani. Oltre alla cura preventiva e alla conservazione dei denti naturali, raccomandava che la sostituzione dei denti seguisse un approccio orientato alla funzionalità. Alla fine della giornata, il Prof. </w:t>
      </w:r>
      <w:proofErr w:type="spellStart"/>
      <w:r w:rsidRPr="002E6E75">
        <w:rPr>
          <w:rStyle w:val="Hyperlink"/>
          <w:rFonts w:ascii="Verdana" w:hAnsi="Verdana"/>
          <w:color w:val="auto"/>
          <w:u w:val="none"/>
          <w:lang w:val="it-IT"/>
        </w:rPr>
        <w:t>Banerjee</w:t>
      </w:r>
      <w:proofErr w:type="spellEnd"/>
      <w:r w:rsidRPr="002E6E75">
        <w:rPr>
          <w:rStyle w:val="Hyperlink"/>
          <w:rFonts w:ascii="Verdana" w:hAnsi="Verdana"/>
          <w:color w:val="auto"/>
          <w:u w:val="none"/>
          <w:lang w:val="it-IT"/>
        </w:rPr>
        <w:t xml:space="preserve"> ha moderato una sessione di domande e risposte durante la quale i partecipanti hanno potuto riprendere la discussione su questo argomento di tendenza.</w:t>
      </w:r>
    </w:p>
    <w:p w14:paraId="2DC54943" w14:textId="77777777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</w:p>
    <w:p w14:paraId="72360F8D" w14:textId="370B00ED" w:rsidR="00C735B9" w:rsidRPr="002E6E75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u w:val="none"/>
          <w:lang w:val="it-IT"/>
        </w:rPr>
      </w:pPr>
      <w:r w:rsidRPr="002E6E75">
        <w:rPr>
          <w:rStyle w:val="Hyperlink"/>
          <w:rFonts w:ascii="Verdana" w:hAnsi="Verdana"/>
          <w:color w:val="auto"/>
          <w:u w:val="none"/>
          <w:lang w:val="it-IT"/>
        </w:rPr>
        <w:t>Avendo attirato oltre 100 partecipanti online e in loco, il simposio è stato un grande successo.</w:t>
      </w:r>
    </w:p>
    <w:p w14:paraId="3C2F4DAE" w14:textId="7DC3CDEB" w:rsidR="00C735B9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it-IT"/>
        </w:rPr>
      </w:pPr>
    </w:p>
    <w:p w14:paraId="2CDA0031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18198734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7C3592F4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558E0310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775ED834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6E736441" w14:textId="77777777" w:rsidR="002E6E75" w:rsidRDefault="002E6E75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</w:p>
    <w:p w14:paraId="659D9549" w14:textId="0C994186" w:rsidR="00C735B9" w:rsidRPr="00F01F6E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bookmarkStart w:id="0" w:name="_GoBack"/>
      <w:bookmarkEnd w:id="0"/>
      <w:r w:rsidRPr="00F01F6E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69750090" w14:textId="77777777" w:rsidR="00C735B9" w:rsidRPr="00F72D1F" w:rsidRDefault="00C735B9" w:rsidP="00C735B9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48A3757F" w14:textId="77777777" w:rsidR="00C735B9" w:rsidRPr="00F72D1F" w:rsidRDefault="00C735B9" w:rsidP="00C735B9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41DF532B" w14:textId="77777777" w:rsidR="00C735B9" w:rsidRPr="00F72D1F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2F865DC8" w14:textId="77777777" w:rsidR="00C735B9" w:rsidRDefault="002E6E75" w:rsidP="00C735B9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1" w:history="1">
        <w:r w:rsidR="00C735B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C735B9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="00C735B9"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50C88E3B" w14:textId="77777777" w:rsidR="00C735B9" w:rsidRDefault="00C735B9" w:rsidP="00C735B9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1E352FF2" w14:textId="77777777" w:rsidR="00C735B9" w:rsidRPr="00BF6BCE" w:rsidRDefault="00C735B9" w:rsidP="00C735B9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r w:rsidRPr="00BF6BCE">
        <w:rPr>
          <w:rFonts w:ascii="Verdana" w:hAnsi="Verdana"/>
          <w:color w:val="404040"/>
          <w:lang w:val="en-US"/>
        </w:rPr>
        <w:t>Original publication</w:t>
      </w:r>
    </w:p>
    <w:p w14:paraId="797D0930" w14:textId="77777777" w:rsidR="00C735B9" w:rsidRPr="00F01F6E" w:rsidRDefault="00C735B9" w:rsidP="00C735B9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>Dental Tribune International – 12</w:t>
      </w:r>
      <w:r w:rsidRPr="00F01F6E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of November 2021</w:t>
      </w:r>
      <w:r>
        <w:rPr>
          <w:rFonts w:ascii="Verdana" w:hAnsi="Verdana"/>
          <w:color w:val="404040"/>
          <w:sz w:val="16"/>
          <w:szCs w:val="16"/>
          <w:lang w:val="en-US"/>
        </w:rPr>
        <w:br/>
      </w:r>
      <w:r w:rsidRPr="005F21AB">
        <w:rPr>
          <w:lang w:val="en-US"/>
        </w:rPr>
        <w:t>https://www.dental-tribune.com/news/gc-symposium-addresses-the-challenges-of-an-ageing-population/</w:t>
      </w:r>
    </w:p>
    <w:p w14:paraId="5BBFBC09" w14:textId="77777777" w:rsidR="00C735B9" w:rsidRPr="00C735B9" w:rsidRDefault="00C735B9" w:rsidP="00C735B9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C735B9" w:rsidRPr="00C735B9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BB8B3" w14:textId="77777777" w:rsidR="00D65937" w:rsidRDefault="00D65937">
      <w:r>
        <w:separator/>
      </w:r>
    </w:p>
  </w:endnote>
  <w:endnote w:type="continuationSeparator" w:id="0">
    <w:p w14:paraId="365B6BBE" w14:textId="77777777" w:rsidR="00D65937" w:rsidRDefault="00D6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F49B5" w14:textId="77777777" w:rsidR="00D65937" w:rsidRDefault="00D65937">
      <w:r>
        <w:separator/>
      </w:r>
    </w:p>
  </w:footnote>
  <w:footnote w:type="continuationSeparator" w:id="0">
    <w:p w14:paraId="7F0DDC4D" w14:textId="77777777" w:rsidR="00D65937" w:rsidRDefault="00D6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E6E75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4E0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21AB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5B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5937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5F21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D4AA45-66C9-4074-9E2A-B524FEDE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2021-11-16T14:18:00Z</dcterms:created>
  <dcterms:modified xsi:type="dcterms:W3CDTF">2021-11-16T14:18:00Z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