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8CF19" w14:textId="794BB79B" w:rsidR="004C48D0" w:rsidRPr="00D0582F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fr-FR"/>
        </w:rPr>
      </w:pPr>
      <w:proofErr w:type="spellStart"/>
      <w:r w:rsidRPr="00D0582F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>Press</w:t>
      </w:r>
      <w:proofErr w:type="spellEnd"/>
      <w:r w:rsidRPr="00D0582F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fr-FR"/>
        </w:rPr>
        <w:t xml:space="preserve"> release</w:t>
      </w:r>
    </w:p>
    <w:p w14:paraId="0C69B5D1" w14:textId="77777777" w:rsidR="00270FCD" w:rsidRPr="00D0582F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fr-FR"/>
        </w:rPr>
      </w:pPr>
    </w:p>
    <w:p w14:paraId="173AD058" w14:textId="77777777" w:rsidR="00086627" w:rsidRPr="00D0582F" w:rsidRDefault="00086627" w:rsidP="0022495A">
      <w:pPr>
        <w:spacing w:line="360" w:lineRule="auto"/>
        <w:jc w:val="both"/>
        <w:rPr>
          <w:lang w:val="fr-FR"/>
        </w:rPr>
      </w:pPr>
    </w:p>
    <w:p w14:paraId="4379AEF5" w14:textId="45656B2E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Troisième "Formation des formateurs pour les restaurations indirectes" </w:t>
      </w:r>
      <w:r w:rsidR="002459AF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chez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GC Europe</w:t>
      </w:r>
    </w:p>
    <w:p w14:paraId="2E39D24F" w14:textId="77777777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</w:p>
    <w:p w14:paraId="7B45EA5A" w14:textId="609AFDF4" w:rsidR="0022495A" w:rsidRPr="0022495A" w:rsidRDefault="00F84014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Le </w:t>
      </w:r>
      <w:proofErr w:type="spellStart"/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d</w:t>
      </w:r>
      <w:r w:rsidR="0022495A"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isilicate</w:t>
      </w:r>
      <w:proofErr w:type="spellEnd"/>
      <w:r w:rsidR="0022495A"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de lithium et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la </w:t>
      </w:r>
      <w:r w:rsidR="0022495A"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zircone : de A à Z</w:t>
      </w:r>
    </w:p>
    <w:p w14:paraId="443C6DBD" w14:textId="77777777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</w:p>
    <w:p w14:paraId="5D4ACCFE" w14:textId="0EA0F8BD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De nos jours, les professionnels de l'art dentaire </w:t>
      </w:r>
      <w:r w:rsidR="00F84014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– tout comme notre société - 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doivent travailler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sur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un rythme élevé</w:t>
      </w:r>
      <w:r w:rsidR="002459AF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</w:t>
      </w:r>
      <w:r w:rsidR="00F84014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;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les restaurations monolithiques et/ou micro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-stratification 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en </w:t>
      </w:r>
      <w:proofErr w:type="spellStart"/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disilicate</w:t>
      </w:r>
      <w:proofErr w:type="spellEnd"/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de lithium ou en zircone sont clairement en hausse. La technologie CAD/CAM est de plus en plus utilisée, tant au laboratoire qu'au fauteuil, notamment dans le cadre de la dentisterie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en une seule séance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. Et </w:t>
      </w:r>
      <w:r w:rsidR="00086627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en matière de 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collage, les solutions universelles</w:t>
      </w:r>
      <w:r w:rsidR="00086627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qui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évit</w:t>
      </w:r>
      <w:r w:rsidR="00086627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nt les protocoles complexes sont plus que jamais recherchées.</w:t>
      </w:r>
    </w:p>
    <w:p w14:paraId="19A7043E" w14:textId="732C1467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Les 17 et 18 janvier, GC a organisé le 3</w:t>
      </w:r>
      <w:r w:rsidR="002459AF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ème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"Train the trainer for indirect </w:t>
      </w:r>
      <w:proofErr w:type="spellStart"/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restorations</w:t>
      </w:r>
      <w:proofErr w:type="spellEnd"/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" pour préparer de nouveaux </w:t>
      </w:r>
      <w:r w:rsidR="00F84014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stages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avec des formateurs et des conférenciers experts très appréciés afin de </w:t>
      </w:r>
      <w:r w:rsidR="00086627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proposer</w:t>
      </w:r>
      <w:r w:rsidRPr="0022495A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à ses clients </w:t>
      </w:r>
      <w:r w:rsidR="00086627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des formations adaptées et efficaces.</w:t>
      </w:r>
    </w:p>
    <w:p w14:paraId="375A7B71" w14:textId="77777777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</w:p>
    <w:p w14:paraId="253E6B61" w14:textId="77777777" w:rsidR="0022495A" w:rsidRPr="0022495A" w:rsidRDefault="0022495A" w:rsidP="0022495A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</w:p>
    <w:p w14:paraId="72A0294D" w14:textId="055D551B" w:rsidR="00A304BF" w:rsidRPr="0022495A" w:rsidRDefault="00A304BF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</w:p>
    <w:p w14:paraId="0D16C07B" w14:textId="77777777" w:rsidR="008B4979" w:rsidRPr="00F84014" w:rsidRDefault="008B4979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248C87A3" w14:textId="2B7CEE48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Janvier 2022 - Un groupe restreint de spécialistes renommés de la prothèse a participé à ce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tte formation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de deux jours 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qui,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compte tenu de la situation sanitaire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, </w:t>
      </w:r>
      <w:r w:rsidR="009A136E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s’est tenu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e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en ligne.</w:t>
      </w:r>
    </w:p>
    <w:p w14:paraId="3E3C2C11" w14:textId="77777777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25735654" w14:textId="72CDFA39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Le professeur Marcio </w:t>
      </w:r>
      <w:proofErr w:type="spellStart"/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Vivan</w:t>
      </w:r>
      <w:proofErr w:type="spellEnd"/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Cardoso (Université de Louvain), Belgique, a présenté une mise à jour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des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matériaux et 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des 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dernières tendances 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lastRenderedPageBreak/>
        <w:t xml:space="preserve">et a </w:t>
      </w:r>
      <w:r w:rsidR="009A136E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proposé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des directives sur les techniques de préparation modernes, y compris les solutions numériques. Le Dr Rumphorst a donné un aperçu clair de</w:t>
      </w:r>
      <w:r w:rsidR="009A136E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procédures de collage</w:t>
      </w:r>
      <w:r w:rsidR="009A136E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adapté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e</w:t>
      </w:r>
      <w:r w:rsidR="009A136E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. De nos jours, le collage doit être simple et facile à appliquer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…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sans trop 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réfléchir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. Les solutions universelles telles que G-CEM ONE sont une excellente réponse à cette demande.</w:t>
      </w:r>
    </w:p>
    <w:p w14:paraId="54C3994D" w14:textId="07F461B1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Les conférences ont été 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accompagnées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par des démonstrations 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concrètes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de l'équipe de formation de GC Europe et les présentations de cas 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cliniques 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ont 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animé les débats, émergeant sur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de nouvelles idées</w:t>
      </w:r>
      <w:r w:rsidR="002459AF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et des conseils utiles pour les uns et les autres.</w:t>
      </w:r>
    </w:p>
    <w:p w14:paraId="6EDCEF12" w14:textId="77777777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4A045909" w14:textId="52990927" w:rsidR="008B4979" w:rsidRPr="008B4979" w:rsidRDefault="008B4979" w:rsidP="008B4979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La profession dentaire évolue rapidement et s'accompagne d'une grande responsabilité de la part de toutes les parties concernées. Pour répondre à ces exigences, il 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est nécessaire de proposer des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formation</w:t>
      </w:r>
      <w:r w:rsid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s</w:t>
      </w:r>
      <w:r w:rsidRPr="008B4979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et un enseignement continus. GC organise régulièrement des cours de qualité pour les professionnels dentaires dans ses centres de formation à travers l'Europe et sur des sites extérieurs.</w:t>
      </w:r>
    </w:p>
    <w:p w14:paraId="02E71607" w14:textId="77777777" w:rsidR="00F966A1" w:rsidRPr="008B4979" w:rsidRDefault="00F966A1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</w:p>
    <w:p w14:paraId="6EF04F09" w14:textId="7D0DADBC" w:rsidR="00291EEA" w:rsidRPr="00CC096C" w:rsidRDefault="00CC096C" w:rsidP="00F84014">
      <w:pPr>
        <w:spacing w:line="360" w:lineRule="auto"/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</w:pPr>
      <w:r w:rsidRP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Vous souhaitez suivre une formation GC ? Consultez notre site web pour </w:t>
      </w:r>
      <w:r w:rsidR="00F84014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découvrir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les formations </w:t>
      </w:r>
      <w:r w:rsidR="00F84014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>proposées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 </w:t>
      </w:r>
      <w:r w:rsidR="0052480D" w:rsidRPr="00CC096C">
        <w:rPr>
          <w:rFonts w:ascii="Verdana" w:eastAsia="Verdana" w:hAnsi="Verdana" w:cs="Verdana"/>
          <w:color w:val="404040"/>
          <w:sz w:val="22"/>
          <w:szCs w:val="22"/>
          <w:u w:color="404040"/>
          <w:lang w:val="fr-FR"/>
        </w:rPr>
        <w:t xml:space="preserve">: </w:t>
      </w:r>
      <w:hyperlink r:id="rId6" w:history="1">
        <w:r w:rsidR="0052480D" w:rsidRPr="00CC096C">
          <w:rPr>
            <w:rStyle w:val="Lienhypertexte"/>
            <w:rFonts w:ascii="Verdana" w:eastAsia="Verdana" w:hAnsi="Verdana" w:cs="Verdana"/>
            <w:sz w:val="22"/>
            <w:szCs w:val="22"/>
            <w:lang w:val="fr-FR"/>
          </w:rPr>
          <w:t>https://www.gceurope.com/education/courses/</w:t>
        </w:r>
      </w:hyperlink>
    </w:p>
    <w:p w14:paraId="5D4DED9F" w14:textId="6074D07E" w:rsidR="004C48D0" w:rsidRPr="00CC096C" w:rsidRDefault="004C48D0" w:rsidP="003042DF">
      <w:pPr>
        <w:spacing w:line="360" w:lineRule="auto"/>
        <w:jc w:val="both"/>
        <w:rPr>
          <w:rFonts w:ascii="Verdana" w:eastAsia="Verdana" w:hAnsi="Verdana" w:cs="Verdana"/>
          <w:color w:val="404040"/>
          <w:spacing w:val="5"/>
          <w:kern w:val="28"/>
          <w:sz w:val="22"/>
          <w:szCs w:val="22"/>
          <w:u w:color="404040"/>
          <w:lang w:val="fr-FR"/>
        </w:rPr>
      </w:pPr>
    </w:p>
    <w:p w14:paraId="065E12D8" w14:textId="77777777" w:rsidR="004C48D0" w:rsidRPr="00CC096C" w:rsidRDefault="004C48D0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2459AF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5A921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bCs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lastRenderedPageBreak/>
              <w:t>GC Europe N.V.</w:t>
            </w:r>
          </w:p>
          <w:p w14:paraId="0E364DD4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proofErr w:type="spellStart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Interleuvenlaan</w:t>
            </w:r>
            <w:proofErr w:type="spellEnd"/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 33</w:t>
            </w:r>
          </w:p>
          <w:p w14:paraId="545474A3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3001 Leuven</w:t>
            </w:r>
          </w:p>
          <w:p w14:paraId="470B7B03" w14:textId="77777777" w:rsidR="004C48D0" w:rsidRPr="009C1D99" w:rsidRDefault="00A7746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Fon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+32.16.74.10.00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</w:r>
          </w:p>
          <w:p w14:paraId="1E7B0E37" w14:textId="77777777" w:rsidR="004C48D0" w:rsidRPr="009C1D99" w:rsidRDefault="00A7746D">
            <w:pPr>
              <w:spacing w:line="360" w:lineRule="auto"/>
              <w:rPr>
                <w:rFonts w:ascii="Verdana" w:eastAsia="Verdana" w:hAnsi="Verdana" w:cs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 xml:space="preserve">Fax </w:t>
            </w: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ab/>
              <w:t>+32.16.74.11.99</w:t>
            </w:r>
          </w:p>
          <w:p w14:paraId="71DD0B93" w14:textId="77777777" w:rsidR="004C48D0" w:rsidRPr="009C1D99" w:rsidRDefault="00A7746D">
            <w:pPr>
              <w:pStyle w:val="NormalWeb"/>
              <w:spacing w:before="0" w:after="0" w:line="360" w:lineRule="auto"/>
              <w:ind w:right="459"/>
              <w:rPr>
                <w:rFonts w:ascii="Verdana" w:eastAsia="Verdana" w:hAnsi="Verdana" w:cs="Verdana"/>
                <w:color w:val="464646"/>
                <w:sz w:val="22"/>
                <w:szCs w:val="22"/>
                <w:u w:color="464646"/>
                <w:lang w:val="fr-FR"/>
              </w:rPr>
            </w:pPr>
            <w:r w:rsidRPr="009C1D99"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  <w:t>www.gceurope.com</w:t>
            </w:r>
          </w:p>
          <w:p w14:paraId="0BF28844" w14:textId="37FBC944" w:rsidR="004C48D0" w:rsidRDefault="00D42117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  <w:hyperlink r:id="rId7" w:history="1">
              <w:r w:rsidR="0052480D" w:rsidRPr="00614044">
                <w:rPr>
                  <w:rStyle w:val="Lienhypertexte"/>
                  <w:rFonts w:ascii="Verdana" w:hAnsi="Verdana"/>
                  <w:spacing w:val="5"/>
                  <w:kern w:val="28"/>
                  <w:sz w:val="22"/>
                  <w:szCs w:val="22"/>
                  <w:lang w:val="fr-FR"/>
                </w:rPr>
                <w:t>info.gce@gc.dental</w:t>
              </w:r>
            </w:hyperlink>
          </w:p>
          <w:p w14:paraId="2BA50998" w14:textId="77777777" w:rsid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  <w:p w14:paraId="754C88CC" w14:textId="07896794" w:rsidR="0052480D" w:rsidRPr="0052480D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fr-FR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3042DF" w:rsidRDefault="004C48D0">
            <w:pPr>
              <w:pStyle w:val="NormalWeb"/>
              <w:spacing w:before="0" w:after="0" w:line="360" w:lineRule="auto"/>
              <w:jc w:val="both"/>
              <w:rPr>
                <w:lang w:val="fr-FR"/>
              </w:rPr>
            </w:pPr>
          </w:p>
        </w:tc>
      </w:tr>
    </w:tbl>
    <w:p w14:paraId="70407860" w14:textId="77777777" w:rsidR="004C48D0" w:rsidRPr="003042DF" w:rsidRDefault="004C48D0">
      <w:pPr>
        <w:widowControl w:val="0"/>
        <w:ind w:left="108" w:hanging="108"/>
        <w:jc w:val="both"/>
        <w:rPr>
          <w:lang w:val="fr-FR"/>
        </w:rPr>
      </w:pPr>
    </w:p>
    <w:sectPr w:rsidR="004C48D0" w:rsidRPr="003042DF">
      <w:headerReference w:type="default" r:id="rId8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F4F9" w14:textId="77777777" w:rsidR="00D42117" w:rsidRDefault="00D42117">
      <w:r>
        <w:separator/>
      </w:r>
    </w:p>
  </w:endnote>
  <w:endnote w:type="continuationSeparator" w:id="0">
    <w:p w14:paraId="6ACEB01F" w14:textId="77777777" w:rsidR="00D42117" w:rsidRDefault="00D4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7B13" w14:textId="77777777" w:rsidR="00D42117" w:rsidRDefault="00D42117">
      <w:r>
        <w:separator/>
      </w:r>
    </w:p>
  </w:footnote>
  <w:footnote w:type="continuationSeparator" w:id="0">
    <w:p w14:paraId="31D0F165" w14:textId="77777777" w:rsidR="00D42117" w:rsidRDefault="00D4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29D1" w14:textId="77777777" w:rsidR="004C48D0" w:rsidRDefault="00A7746D">
    <w:pPr>
      <w:pStyle w:val="En-tt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800FA"/>
    <w:rsid w:val="00086627"/>
    <w:rsid w:val="00106786"/>
    <w:rsid w:val="00107638"/>
    <w:rsid w:val="0016511A"/>
    <w:rsid w:val="001B5343"/>
    <w:rsid w:val="001C1388"/>
    <w:rsid w:val="00204E47"/>
    <w:rsid w:val="0022495A"/>
    <w:rsid w:val="002459AF"/>
    <w:rsid w:val="00247359"/>
    <w:rsid w:val="00270FCD"/>
    <w:rsid w:val="00291EEA"/>
    <w:rsid w:val="002974A2"/>
    <w:rsid w:val="002A4426"/>
    <w:rsid w:val="002C389F"/>
    <w:rsid w:val="003042DF"/>
    <w:rsid w:val="00312F6E"/>
    <w:rsid w:val="00321DE6"/>
    <w:rsid w:val="003A3079"/>
    <w:rsid w:val="003B4C34"/>
    <w:rsid w:val="003F1B6F"/>
    <w:rsid w:val="00444A98"/>
    <w:rsid w:val="004C48D0"/>
    <w:rsid w:val="004D0FBF"/>
    <w:rsid w:val="004D3B6C"/>
    <w:rsid w:val="0052480D"/>
    <w:rsid w:val="00572892"/>
    <w:rsid w:val="005D1861"/>
    <w:rsid w:val="005E7894"/>
    <w:rsid w:val="00610AAC"/>
    <w:rsid w:val="00616F42"/>
    <w:rsid w:val="00657BB0"/>
    <w:rsid w:val="006C68FF"/>
    <w:rsid w:val="0072441C"/>
    <w:rsid w:val="00730FC0"/>
    <w:rsid w:val="00776B7A"/>
    <w:rsid w:val="00793864"/>
    <w:rsid w:val="00821D97"/>
    <w:rsid w:val="0083349B"/>
    <w:rsid w:val="00867C29"/>
    <w:rsid w:val="008753D9"/>
    <w:rsid w:val="008B4979"/>
    <w:rsid w:val="008F7868"/>
    <w:rsid w:val="00906474"/>
    <w:rsid w:val="00911D35"/>
    <w:rsid w:val="00914C1C"/>
    <w:rsid w:val="00960DB7"/>
    <w:rsid w:val="00981F33"/>
    <w:rsid w:val="009A136E"/>
    <w:rsid w:val="009C1D99"/>
    <w:rsid w:val="00A304BF"/>
    <w:rsid w:val="00A7746D"/>
    <w:rsid w:val="00AC77C3"/>
    <w:rsid w:val="00B0362E"/>
    <w:rsid w:val="00B55FCD"/>
    <w:rsid w:val="00BD4617"/>
    <w:rsid w:val="00CA5DBB"/>
    <w:rsid w:val="00CC096C"/>
    <w:rsid w:val="00D0582F"/>
    <w:rsid w:val="00D21359"/>
    <w:rsid w:val="00D42117"/>
    <w:rsid w:val="00DC1238"/>
    <w:rsid w:val="00ED2B9D"/>
    <w:rsid w:val="00ED59B2"/>
    <w:rsid w:val="00F84014"/>
    <w:rsid w:val="00F966A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ansinterligne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cs="Arial Unicode MS"/>
      <w:color w:val="000000"/>
      <w:u w:color="000000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52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.com/education/course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2249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Cothenet, Candice</cp:lastModifiedBy>
  <cp:revision>2</cp:revision>
  <cp:lastPrinted>2020-01-21T15:04:00Z</cp:lastPrinted>
  <dcterms:created xsi:type="dcterms:W3CDTF">2022-02-15T14:48:00Z</dcterms:created>
  <dcterms:modified xsi:type="dcterms:W3CDTF">2022-02-15T14:48:00Z</dcterms:modified>
</cp:coreProperties>
</file>