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3E57FD08" w:rsidR="004C48D0" w:rsidRPr="00413AC6" w:rsidRDefault="00413AC6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es-ES_tradnl"/>
        </w:rPr>
      </w:pPr>
      <w:r w:rsidRPr="00413AC6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s-ES_tradnl"/>
        </w:rPr>
        <w:t>Comunicado de prensa</w:t>
      </w:r>
    </w:p>
    <w:p w14:paraId="0C69B5D1" w14:textId="77777777" w:rsidR="00270FCD" w:rsidRPr="00413AC6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es-ES_tradnl"/>
        </w:rPr>
      </w:pPr>
    </w:p>
    <w:p w14:paraId="5C9C63F7" w14:textId="00525A4F" w:rsidR="006948EC" w:rsidRPr="00413AC6" w:rsidRDefault="00413AC6" w:rsidP="0072441C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es-ES_tradnl"/>
        </w:rPr>
      </w:pPr>
      <w:r w:rsidRPr="00413AC6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 xml:space="preserve">El Centenario de </w:t>
      </w:r>
      <w:r w:rsidR="002A1160" w:rsidRPr="00413AC6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>GC</w:t>
      </w:r>
      <w:r w:rsidRPr="00413AC6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>:</w:t>
      </w:r>
      <w:r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 xml:space="preserve"> la celebración continúa en </w:t>
      </w:r>
      <w:r w:rsidR="002A1160" w:rsidRPr="00413AC6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>GC International AG</w:t>
      </w:r>
    </w:p>
    <w:p w14:paraId="57929B0C" w14:textId="6F55829B" w:rsidR="00127948" w:rsidRPr="00127948" w:rsidRDefault="002A1160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</w:pPr>
      <w:r w:rsidRPr="00127948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Lu</w:t>
      </w:r>
      <w:r w:rsidR="00127948" w:rsidRPr="00127948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cerna, Suiza</w:t>
      </w:r>
      <w:r w:rsidRPr="00127948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 – </w:t>
      </w:r>
      <w:r w:rsidR="003D3699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E</w:t>
      </w:r>
      <w:r w:rsidR="00127948" w:rsidRPr="00127948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l 11 de febrero de 2021,</w:t>
      </w:r>
      <w:r w:rsidR="00127948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 GC celebró su centenario, </w:t>
      </w:r>
      <w:r w:rsidR="00195141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con un nuevo lema para conmemorarlo: “100 años de calidad dental”.</w:t>
      </w:r>
      <w:r w:rsidR="003D3699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 Para celebrar este trascendental momento, GC organizó</w:t>
      </w:r>
      <w:r w:rsidR="00EC1C3E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 numerosos eventos en todo el mundo. La última celebración, organizada por GC International AG (GCIAG), tuvo lugar en </w:t>
      </w:r>
      <w:bookmarkStart w:id="0" w:name="_Hlk103249173"/>
      <w:r w:rsidR="00415855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el famoso Grand Casino </w:t>
      </w:r>
      <w:proofErr w:type="spellStart"/>
      <w:r w:rsidR="00415855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Luzern</w:t>
      </w:r>
      <w:proofErr w:type="spellEnd"/>
      <w:r w:rsidR="00415855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 xml:space="preserve">, en Lucerna, Suiza, </w:t>
      </w:r>
      <w:bookmarkEnd w:id="0"/>
      <w:r w:rsidR="00415855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el 25 de abril de 2022. Con más de 250 asistentes, este prestigioso evento puso de relieve los planes de GC para la próxima década.</w:t>
      </w:r>
    </w:p>
    <w:p w14:paraId="63B25ECD" w14:textId="77777777" w:rsidR="002A1160" w:rsidRPr="000F7C39" w:rsidRDefault="002A1160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</w:p>
    <w:p w14:paraId="303BC970" w14:textId="2AE6012F" w:rsidR="00415855" w:rsidRPr="00741A04" w:rsidRDefault="00415855" w:rsidP="002A1160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</w:pPr>
      <w:r w:rsidRPr="00415855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Antes de la celebración de </w:t>
      </w:r>
      <w:r w:rsidR="002A1160" w:rsidRPr="00415855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GCIAG</w:t>
      </w:r>
      <w:r w:rsidRPr="00415855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en Suiza</w:t>
      </w:r>
      <w:r w:rsidR="002A1160" w:rsidRPr="00415855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, </w:t>
      </w:r>
      <w:r w:rsidR="005D1692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GC acogió la 5ª edición del Simposio Internacional Dental en el Foro Internacional de Tokio los días 16 y 17 de abril de 2022. </w:t>
      </w:r>
      <w:r w:rsidR="0042125C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Este evento formativo juntó a más de 100 prestigiosos ponentes de todo el mundo, unidos por el tema del simposio “</w:t>
      </w:r>
      <w:proofErr w:type="spellStart"/>
      <w:r w:rsidR="0042125C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Smile</w:t>
      </w:r>
      <w:proofErr w:type="spellEnd"/>
      <w:r w:rsidR="0042125C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</w:t>
      </w:r>
      <w:proofErr w:type="spellStart"/>
      <w:r w:rsidR="0042125C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for</w:t>
      </w:r>
      <w:proofErr w:type="spellEnd"/>
      <w:r w:rsidR="0042125C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</w:t>
      </w:r>
      <w:proofErr w:type="spellStart"/>
      <w:r w:rsidR="0042125C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the</w:t>
      </w:r>
      <w:proofErr w:type="spellEnd"/>
      <w:r w:rsidR="0042125C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</w:t>
      </w:r>
      <w:proofErr w:type="spellStart"/>
      <w:r w:rsidR="0042125C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World</w:t>
      </w:r>
      <w:proofErr w:type="spellEnd"/>
      <w:r w:rsidR="0042125C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– Más allá del centenario”.</w:t>
      </w:r>
      <w:r w:rsidR="004B16E1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</w:t>
      </w:r>
      <w:r w:rsidR="004B16E1" w:rsidRPr="00741A04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Los asistentes disfrutaron</w:t>
      </w:r>
      <w:r w:rsidR="000C7759" w:rsidRPr="00741A04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de </w:t>
      </w:r>
      <w:r w:rsidR="00741A04" w:rsidRPr="00741A04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perspectivas avanzadas en Odontología en l</w:t>
      </w:r>
      <w:r w:rsidR="00741A04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as 28 sesiones formativas</w:t>
      </w:r>
      <w:r w:rsidR="00CC4B17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y tuvieron la oportunidad exclusiva de probar los últimos productos y equipamiento de GC </w:t>
      </w:r>
      <w:r w:rsidR="00DF7ADB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de primera mano</w:t>
      </w:r>
      <w:r w:rsidR="00CC4B17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.</w:t>
      </w:r>
    </w:p>
    <w:p w14:paraId="4A044E1C" w14:textId="5A94C8D8" w:rsidR="00AB7CC8" w:rsidRPr="00AB7CC8" w:rsidRDefault="00F0035C" w:rsidP="002A1160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</w:pPr>
      <w:r w:rsidRPr="00F0035C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Después de este excepcional e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vento de dos días en Tokio</w:t>
      </w:r>
      <w:r w:rsidR="00E31399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, las celebraciones continuaron a miles de kilómetros en Europa. </w:t>
      </w:r>
      <w:r w:rsidR="00403ED6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El 25 de abril de 2022, más de 180 invitados de honor y 70 asociados de GC de reunieron en </w:t>
      </w:r>
      <w:r w:rsidR="00403ED6" w:rsidRPr="00403ED6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el famoso Grand Casino </w:t>
      </w:r>
      <w:proofErr w:type="spellStart"/>
      <w:r w:rsidR="00403ED6" w:rsidRPr="00403ED6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Luzern</w:t>
      </w:r>
      <w:proofErr w:type="spellEnd"/>
      <w:r w:rsidR="00403ED6" w:rsidRPr="00403ED6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, en Lucerna, Suiza,</w:t>
      </w:r>
      <w:r w:rsidR="00403ED6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donde GC</w:t>
      </w:r>
      <w:r w:rsidR="00AB7CC8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acogió la celebración de su centenario. </w:t>
      </w:r>
      <w:r w:rsidR="00AB7CC8" w:rsidRPr="00AB7CC8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Para comenzar el evento, el Dr. </w:t>
      </w:r>
      <w:proofErr w:type="spellStart"/>
      <w:r w:rsidR="00AB7CC8" w:rsidRPr="00AB7CC8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Kiyotaka</w:t>
      </w:r>
      <w:proofErr w:type="spellEnd"/>
      <w:r w:rsidR="00AB7CC8" w:rsidRPr="00AB7CC8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</w:t>
      </w:r>
      <w:proofErr w:type="spellStart"/>
      <w:r w:rsidR="00AB7CC8" w:rsidRPr="00AB7CC8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Nakao</w:t>
      </w:r>
      <w:proofErr w:type="spellEnd"/>
      <w:r w:rsidR="00AB7CC8" w:rsidRPr="00AB7CC8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, </w:t>
      </w:r>
      <w:proofErr w:type="gramStart"/>
      <w:r w:rsidR="00AB7CC8" w:rsidRPr="00AB7CC8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Presidente</w:t>
      </w:r>
      <w:proofErr w:type="gramEnd"/>
      <w:r w:rsidR="00AB7CC8" w:rsidRPr="00AB7CC8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y Director General de GC </w:t>
      </w:r>
      <w:proofErr w:type="spellStart"/>
      <w:r w:rsidR="00AB7CC8" w:rsidRPr="00AB7CC8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Corporation</w:t>
      </w:r>
      <w:proofErr w:type="spellEnd"/>
      <w:r w:rsidR="00AB7CC8" w:rsidRPr="00AB7CC8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y </w:t>
      </w:r>
      <w:r w:rsidR="002A1160" w:rsidRPr="00AB7CC8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GC International AG, </w:t>
      </w:r>
      <w:r w:rsidR="00AB7CC8" w:rsidRPr="00AB7CC8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d</w:t>
      </w:r>
      <w:r w:rsidR="00AB7CC8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io la bienvenida formal a los invitados</w:t>
      </w:r>
      <w:r w:rsidR="00857EDC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con </w:t>
      </w:r>
      <w:r w:rsidR="00C701F3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un </w:t>
      </w:r>
      <w:r w:rsidR="00857EDC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entusiasta discurso,</w:t>
      </w:r>
      <w:r w:rsidR="006D79DE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expresando su gratitud a todas las partes interesadas y deseando más avances en la Odontología y más crecimiento y evolución en GC para el futuro. </w:t>
      </w:r>
    </w:p>
    <w:p w14:paraId="57087E15" w14:textId="4DAE5A2C" w:rsidR="002A1160" w:rsidRPr="000F7C39" w:rsidRDefault="002A1160" w:rsidP="002A1160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</w:pPr>
    </w:p>
    <w:p w14:paraId="34C6222D" w14:textId="18E9F9C9" w:rsidR="00A42D4E" w:rsidRPr="00C7359F" w:rsidRDefault="00274D5A" w:rsidP="002A1160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</w:pPr>
      <w:r w:rsidRPr="00274D5A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lastRenderedPageBreak/>
        <w:t>El discurso de apertura d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io paso a numerosos invitados distinguidos, incluyendo al Profesor </w:t>
      </w:r>
      <w:proofErr w:type="spellStart"/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Ihsane</w:t>
      </w:r>
      <w:proofErr w:type="spellEnd"/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Ben </w:t>
      </w:r>
      <w:proofErr w:type="spellStart"/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Yahya</w:t>
      </w:r>
      <w:proofErr w:type="spellEnd"/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, </w:t>
      </w:r>
      <w:proofErr w:type="gramStart"/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Presidente</w:t>
      </w:r>
      <w:proofErr w:type="gramEnd"/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del FDI, y el Sr. </w:t>
      </w:r>
      <w:proofErr w:type="spellStart"/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Kojiro</w:t>
      </w:r>
      <w:proofErr w:type="spellEnd"/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</w:t>
      </w:r>
      <w:proofErr w:type="spellStart"/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Shiraishi</w:t>
      </w:r>
      <w:proofErr w:type="spellEnd"/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, embajador de Japón en Suiza.</w:t>
      </w:r>
      <w:r w:rsidR="00042FF2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Se emitió un video del Sr. Guy </w:t>
      </w:r>
      <w:proofErr w:type="spellStart"/>
      <w:r w:rsidR="00042FF2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Parmelin</w:t>
      </w:r>
      <w:proofErr w:type="spellEnd"/>
      <w:r w:rsidR="00042FF2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, </w:t>
      </w:r>
      <w:proofErr w:type="gramStart"/>
      <w:r w:rsidR="00042FF2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Director</w:t>
      </w:r>
      <w:proofErr w:type="gramEnd"/>
      <w:r w:rsidR="00042FF2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del Departamento Federal de Asuntos Económicos, Educación e Investigación, seguido de un</w:t>
      </w:r>
      <w:r w:rsidR="00FB6056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discurso y un</w:t>
      </w:r>
      <w:r w:rsidR="00042FF2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brindis</w:t>
      </w:r>
      <w:r w:rsidR="00FB6056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del Vicepresidente de la Universidad de </w:t>
      </w:r>
      <w:proofErr w:type="spellStart"/>
      <w:r w:rsidR="00FB6056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Zürich</w:t>
      </w:r>
      <w:proofErr w:type="spellEnd"/>
      <w:r w:rsidR="00FB6056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, el Profesor Dr. Christian </w:t>
      </w:r>
      <w:r w:rsidR="00FB6056" w:rsidRPr="00FB6056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Schwarzenegger</w:t>
      </w:r>
      <w:r w:rsidR="00FB6056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.</w:t>
      </w:r>
      <w:r w:rsidR="00C7359F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A lo largo del evento, la reconocida flautista </w:t>
      </w:r>
      <w:r w:rsidR="00C7359F" w:rsidRPr="00C7359F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Andrea </w:t>
      </w:r>
      <w:proofErr w:type="spellStart"/>
      <w:r w:rsidR="00C7359F" w:rsidRPr="00C7359F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Lötscher</w:t>
      </w:r>
      <w:proofErr w:type="spellEnd"/>
      <w:r w:rsidR="00C7359F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deleitó a los invitados con una hermosa interpretación musical. </w:t>
      </w:r>
    </w:p>
    <w:p w14:paraId="7BD9C3AB" w14:textId="5873D33F" w:rsidR="002A1160" w:rsidRDefault="00F941B1" w:rsidP="002A1160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</w:pP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Al final de la tarde, el Sr. Makoto </w:t>
      </w:r>
      <w:proofErr w:type="spellStart"/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Nakao</w:t>
      </w:r>
      <w:proofErr w:type="spellEnd"/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, el Presidente del Consejo de GCIAG, cerró el evento con un inspirador mensaje y la tradicional costumbre japonesa </w:t>
      </w:r>
      <w:r w:rsidR="00EF36CA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de </w:t>
      </w:r>
      <w:r w:rsidR="00EF36CA" w:rsidRPr="00EF36CA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aplausos rítmicos ceremoniales </w:t>
      </w:r>
      <w:r w:rsidR="00EF36CA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para </w:t>
      </w:r>
      <w:r w:rsidR="000F7C39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el cierre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</w:t>
      </w:r>
      <w:r w:rsidR="000F7C39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del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evento</w:t>
      </w:r>
      <w:r w:rsidR="00B211DC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.</w:t>
      </w:r>
    </w:p>
    <w:p w14:paraId="44CBBCE1" w14:textId="061D66CA" w:rsidR="00F941B1" w:rsidRPr="00366270" w:rsidRDefault="009A78EB" w:rsidP="002A1160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</w:pPr>
      <w:r w:rsidRPr="009A78EB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GCIAG se estableció en sep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tiembre de 2013 en Lucerna, Suiza, para facilitar la internacionalización de GC, promover el desarrollo de nuevos productos</w:t>
      </w:r>
      <w:r w:rsidR="00680F9B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a escala global, y llevar a cabo otras muchas operaciones multinacionales. </w:t>
      </w:r>
      <w:r w:rsidR="00AE5992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Como las oficinas centrales de GC, GCIAG lleva a la organización entera hacia su Visión 2031</w:t>
      </w:r>
      <w:r w:rsidR="000060F5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, que es </w:t>
      </w:r>
      <w:r w:rsidR="00366270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“</w:t>
      </w:r>
      <w:r w:rsidR="00366270" w:rsidRPr="00366270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Convertirnos en líderes del sector dental y contribuir a la salud y a la longevidad de la sociedad</w:t>
      </w:r>
      <w:r w:rsidR="00366270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”. </w:t>
      </w:r>
      <w:r w:rsidR="00366270" w:rsidRPr="00366270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Esta visión refleja la ambición de GC</w:t>
      </w:r>
      <w:r w:rsidR="00366270" w:rsidRPr="00366270">
        <w:rPr>
          <w:lang w:val="es-ES_tradnl"/>
        </w:rPr>
        <w:t xml:space="preserve"> </w:t>
      </w:r>
      <w:r w:rsidR="00366270" w:rsidRPr="00366270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de aportar valores en cuidado dental para contribuir a la longevidad de la socieda</w:t>
      </w:r>
      <w:r w:rsidR="00366270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d m</w:t>
      </w:r>
      <w:r w:rsidR="00366270" w:rsidRPr="00366270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ientras que alcanza un crecimiento sostenible en ventas y beneficios</w:t>
      </w:r>
      <w:r w:rsidR="00F5733F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y permanece fiel a los valores de la empresa, convirtiéndo</w:t>
      </w:r>
      <w:r w:rsidR="00870849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se</w:t>
      </w:r>
      <w:r w:rsidR="00F5733F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 xml:space="preserve"> en una compañía incomparable para las partes interesadas.</w:t>
      </w:r>
    </w:p>
    <w:p w14:paraId="3586E24A" w14:textId="77777777" w:rsidR="009A78EB" w:rsidRPr="00366270" w:rsidRDefault="009A78EB" w:rsidP="002A1160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</w:pPr>
    </w:p>
    <w:p w14:paraId="166F9FFE" w14:textId="77777777" w:rsidR="00870849" w:rsidRPr="00870849" w:rsidRDefault="00870849" w:rsidP="002A1160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</w:pPr>
      <w:r w:rsidRPr="00870849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Para saber más sobre el simposio o sobre noticias de GC, visite:</w:t>
      </w:r>
    </w:p>
    <w:p w14:paraId="6EF04F09" w14:textId="4E1BAAAD" w:rsidR="00291EEA" w:rsidRPr="00870849" w:rsidRDefault="006948EC" w:rsidP="002A1160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s-ES_tradnl"/>
        </w:rPr>
      </w:pPr>
      <w:r w:rsidRPr="00870849"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  <w:t>https://www.gcdentalcampus.com/en/symposium/the-5th/</w:t>
      </w:r>
    </w:p>
    <w:p w14:paraId="02633FF4" w14:textId="77777777" w:rsidR="000F6D4D" w:rsidRPr="00870849" w:rsidRDefault="000F6D4D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s-ES_tradnl"/>
        </w:rPr>
      </w:pPr>
    </w:p>
    <w:tbl>
      <w:tblPr>
        <w:tblStyle w:val="TableNormal1"/>
        <w:tblW w:w="80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1"/>
        <w:gridCol w:w="2797"/>
      </w:tblGrid>
      <w:tr w:rsidR="004C48D0" w:rsidRPr="0023651A" w14:paraId="7FBC2766" w14:textId="77777777">
        <w:trPr>
          <w:trHeight w:val="566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71BA9" w14:textId="77777777" w:rsidR="0023651A" w:rsidRPr="0023651A" w:rsidRDefault="0023651A" w:rsidP="0023651A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</w:pPr>
            <w:r w:rsidRPr="0023651A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  <w:lastRenderedPageBreak/>
              <w:t xml:space="preserve">GC IBÉRICA Dental </w:t>
            </w:r>
            <w:proofErr w:type="spellStart"/>
            <w:r w:rsidRPr="0023651A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  <w:t>Products</w:t>
            </w:r>
            <w:proofErr w:type="spellEnd"/>
            <w:r w:rsidRPr="0023651A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  <w:t>, S.L.</w:t>
            </w:r>
          </w:p>
          <w:p w14:paraId="388D0440" w14:textId="77777777" w:rsidR="0023651A" w:rsidRPr="0023651A" w:rsidRDefault="0023651A" w:rsidP="0023651A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</w:pPr>
            <w:r w:rsidRPr="0023651A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  <w:t xml:space="preserve">Edificio </w:t>
            </w:r>
            <w:proofErr w:type="spellStart"/>
            <w:r w:rsidRPr="0023651A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  <w:t>Codesa</w:t>
            </w:r>
            <w:proofErr w:type="spellEnd"/>
            <w:r w:rsidRPr="0023651A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  <w:t xml:space="preserve"> 2 Playa de las </w:t>
            </w:r>
            <w:proofErr w:type="spellStart"/>
            <w:r w:rsidRPr="0023651A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  <w:t>Americas</w:t>
            </w:r>
            <w:proofErr w:type="spellEnd"/>
            <w:r w:rsidRPr="0023651A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  <w:t>, 2, 1°, Of. 4</w:t>
            </w:r>
          </w:p>
          <w:p w14:paraId="14E8EDA2" w14:textId="77777777" w:rsidR="0023651A" w:rsidRPr="0023651A" w:rsidRDefault="0023651A" w:rsidP="0023651A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</w:pPr>
            <w:r w:rsidRPr="0023651A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  <w:t xml:space="preserve">28290 </w:t>
            </w:r>
            <w:proofErr w:type="gramStart"/>
            <w:r w:rsidRPr="0023651A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  <w:t>Las</w:t>
            </w:r>
            <w:proofErr w:type="gramEnd"/>
            <w:r w:rsidRPr="0023651A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  <w:t xml:space="preserve"> Rozas, Madrid</w:t>
            </w:r>
          </w:p>
          <w:p w14:paraId="2C568E78" w14:textId="17381287" w:rsidR="0023651A" w:rsidRPr="0023651A" w:rsidRDefault="0023651A" w:rsidP="0023651A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</w:pPr>
            <w:r w:rsidRPr="0023651A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  <w:t>España</w:t>
            </w:r>
            <w:bookmarkStart w:id="1" w:name="_GoBack"/>
            <w:bookmarkEnd w:id="1"/>
          </w:p>
          <w:p w14:paraId="0FA4642B" w14:textId="77777777" w:rsidR="0023651A" w:rsidRPr="0023651A" w:rsidRDefault="0023651A" w:rsidP="0023651A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</w:pPr>
            <w:r w:rsidRPr="0023651A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  <w:t>+34 916 36 43 40</w:t>
            </w:r>
          </w:p>
          <w:p w14:paraId="30A37F8B" w14:textId="77777777" w:rsidR="0023651A" w:rsidRPr="0023651A" w:rsidRDefault="0023651A" w:rsidP="0023651A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</w:pPr>
            <w:r w:rsidRPr="0023651A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  <w:t>+34 916 36 43 41</w:t>
            </w:r>
          </w:p>
          <w:p w14:paraId="0B60BAA3" w14:textId="77777777" w:rsidR="0023651A" w:rsidRPr="0023651A" w:rsidRDefault="0023651A" w:rsidP="0023651A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</w:pPr>
            <w:proofErr w:type="spellStart"/>
            <w:r w:rsidRPr="0023651A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  <w:t>comercial.spain@gc.dental</w:t>
            </w:r>
            <w:proofErr w:type="spellEnd"/>
          </w:p>
          <w:p w14:paraId="2BA50998" w14:textId="18E4A91A" w:rsidR="0052480D" w:rsidRPr="0023651A" w:rsidRDefault="0023651A" w:rsidP="0023651A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</w:pPr>
            <w:r w:rsidRPr="0023651A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spain.gceurope.com</w:t>
            </w:r>
          </w:p>
          <w:p w14:paraId="754C88CC" w14:textId="07896794" w:rsidR="0052480D" w:rsidRPr="0023651A" w:rsidRDefault="0052480D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E3E9" w14:textId="77777777" w:rsidR="004C48D0" w:rsidRPr="0023651A" w:rsidRDefault="004C48D0">
            <w:pPr>
              <w:pStyle w:val="NormalWeb"/>
              <w:spacing w:before="0" w:after="0" w:line="360" w:lineRule="auto"/>
              <w:jc w:val="both"/>
              <w:rPr>
                <w:lang w:val="es-ES"/>
              </w:rPr>
            </w:pPr>
          </w:p>
        </w:tc>
      </w:tr>
    </w:tbl>
    <w:p w14:paraId="70407860" w14:textId="77777777" w:rsidR="004C48D0" w:rsidRPr="0023651A" w:rsidRDefault="004C48D0">
      <w:pPr>
        <w:widowControl w:val="0"/>
        <w:ind w:left="108" w:hanging="108"/>
        <w:jc w:val="both"/>
        <w:rPr>
          <w:lang w:val="es-ES"/>
        </w:rPr>
      </w:pPr>
    </w:p>
    <w:sectPr w:rsidR="004C48D0" w:rsidRPr="0023651A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63DA5" w14:textId="77777777" w:rsidR="000466C2" w:rsidRDefault="000466C2">
      <w:r>
        <w:separator/>
      </w:r>
    </w:p>
  </w:endnote>
  <w:endnote w:type="continuationSeparator" w:id="0">
    <w:p w14:paraId="023C77B3" w14:textId="77777777" w:rsidR="000466C2" w:rsidRDefault="0004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6C7C7" w14:textId="77777777" w:rsidR="000466C2" w:rsidRDefault="000466C2">
      <w:r>
        <w:separator/>
      </w:r>
    </w:p>
  </w:footnote>
  <w:footnote w:type="continuationSeparator" w:id="0">
    <w:p w14:paraId="28F63E8B" w14:textId="77777777" w:rsidR="000466C2" w:rsidRDefault="00046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id="_x0000_s1026" style="visibility:visible;position:absolute;margin-left:13.8pt;margin-top:36.2pt;width:570.9pt;height:76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7250432,9672321">
              <w10:wrap type="none" side="bothSides" anchorx="page" anchory="page"/>
              <v:shape id="_x0000_s1027" type="#_x0000_t75" style="position:absolute;left:2836544;top:9319113;width:1569721;height:353207;">
                <v:imagedata r:id="rId3" o:title="image1.png"/>
              </v:shape>
              <v:group id="_x0000_s1028" style="position:absolute;left:0;top:-1;width:7250432;height:579068;" coordorigin="0,0" coordsize="7250432,579068">
                <v:shape id="_x0000_s1029" type="#_x0000_t75" style="position:absolute;left:6623022;top:0;width:627410;height:579068;">
                  <v:imagedata r:id="rId4" o:title="image2.png"/>
                </v:shape>
                <v:line id="_x0000_s1030" style="position:absolute;left:0;top:139052;width:6759913;height:1905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6566069;top:137621;width:195100;height:362876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060F5"/>
    <w:rsid w:val="000207F2"/>
    <w:rsid w:val="00042FF2"/>
    <w:rsid w:val="000466C2"/>
    <w:rsid w:val="000800FA"/>
    <w:rsid w:val="000C7759"/>
    <w:rsid w:val="000D76A0"/>
    <w:rsid w:val="000F6D4D"/>
    <w:rsid w:val="000F7C39"/>
    <w:rsid w:val="00106786"/>
    <w:rsid w:val="00107638"/>
    <w:rsid w:val="00110E12"/>
    <w:rsid w:val="00127948"/>
    <w:rsid w:val="00140BEB"/>
    <w:rsid w:val="0016511A"/>
    <w:rsid w:val="00195141"/>
    <w:rsid w:val="001A7166"/>
    <w:rsid w:val="001B5343"/>
    <w:rsid w:val="001C1388"/>
    <w:rsid w:val="001E7F7E"/>
    <w:rsid w:val="002011B2"/>
    <w:rsid w:val="00204E47"/>
    <w:rsid w:val="0023651A"/>
    <w:rsid w:val="00243ADC"/>
    <w:rsid w:val="00247359"/>
    <w:rsid w:val="00270FCD"/>
    <w:rsid w:val="00274D5A"/>
    <w:rsid w:val="00291EEA"/>
    <w:rsid w:val="002974A2"/>
    <w:rsid w:val="002A1160"/>
    <w:rsid w:val="002A3AB6"/>
    <w:rsid w:val="002A4426"/>
    <w:rsid w:val="002C389F"/>
    <w:rsid w:val="002F4CB5"/>
    <w:rsid w:val="002F55D7"/>
    <w:rsid w:val="003042DF"/>
    <w:rsid w:val="00312F6E"/>
    <w:rsid w:val="00321DE6"/>
    <w:rsid w:val="00366270"/>
    <w:rsid w:val="003B4C34"/>
    <w:rsid w:val="003D0B60"/>
    <w:rsid w:val="003D3699"/>
    <w:rsid w:val="003F1B6F"/>
    <w:rsid w:val="00403ED6"/>
    <w:rsid w:val="00413AC6"/>
    <w:rsid w:val="00415855"/>
    <w:rsid w:val="0042125C"/>
    <w:rsid w:val="00444A98"/>
    <w:rsid w:val="004B130A"/>
    <w:rsid w:val="004B16E1"/>
    <w:rsid w:val="004C48D0"/>
    <w:rsid w:val="004D0FBF"/>
    <w:rsid w:val="004D3B6C"/>
    <w:rsid w:val="004E5499"/>
    <w:rsid w:val="004E57C3"/>
    <w:rsid w:val="0052480D"/>
    <w:rsid w:val="005433E0"/>
    <w:rsid w:val="00572892"/>
    <w:rsid w:val="005D1692"/>
    <w:rsid w:val="005D1861"/>
    <w:rsid w:val="005E7894"/>
    <w:rsid w:val="00610AAC"/>
    <w:rsid w:val="00616F42"/>
    <w:rsid w:val="00657BB0"/>
    <w:rsid w:val="00680F9B"/>
    <w:rsid w:val="006948EC"/>
    <w:rsid w:val="006C68FF"/>
    <w:rsid w:val="006D79DE"/>
    <w:rsid w:val="006E03C2"/>
    <w:rsid w:val="006E29B0"/>
    <w:rsid w:val="0072441C"/>
    <w:rsid w:val="00740CD0"/>
    <w:rsid w:val="00741A04"/>
    <w:rsid w:val="00760491"/>
    <w:rsid w:val="00766388"/>
    <w:rsid w:val="00776B7A"/>
    <w:rsid w:val="00790F97"/>
    <w:rsid w:val="0080461E"/>
    <w:rsid w:val="00821D97"/>
    <w:rsid w:val="00822204"/>
    <w:rsid w:val="00835A51"/>
    <w:rsid w:val="00857EDC"/>
    <w:rsid w:val="00867C29"/>
    <w:rsid w:val="00870849"/>
    <w:rsid w:val="008753D9"/>
    <w:rsid w:val="008F7868"/>
    <w:rsid w:val="00906474"/>
    <w:rsid w:val="00911D35"/>
    <w:rsid w:val="00914C1C"/>
    <w:rsid w:val="00927CF4"/>
    <w:rsid w:val="00927DD2"/>
    <w:rsid w:val="00960DB7"/>
    <w:rsid w:val="00981F33"/>
    <w:rsid w:val="009A78EB"/>
    <w:rsid w:val="009C1D99"/>
    <w:rsid w:val="009D010B"/>
    <w:rsid w:val="00A304BF"/>
    <w:rsid w:val="00A42D4E"/>
    <w:rsid w:val="00A7746D"/>
    <w:rsid w:val="00AB7CC8"/>
    <w:rsid w:val="00AC77C3"/>
    <w:rsid w:val="00AE5992"/>
    <w:rsid w:val="00B0362E"/>
    <w:rsid w:val="00B211DC"/>
    <w:rsid w:val="00B87FB1"/>
    <w:rsid w:val="00BD4617"/>
    <w:rsid w:val="00C701F3"/>
    <w:rsid w:val="00C7359F"/>
    <w:rsid w:val="00C75D20"/>
    <w:rsid w:val="00CA5AE9"/>
    <w:rsid w:val="00CA5DBB"/>
    <w:rsid w:val="00CC4B17"/>
    <w:rsid w:val="00D023F1"/>
    <w:rsid w:val="00D033D9"/>
    <w:rsid w:val="00D21359"/>
    <w:rsid w:val="00DC1238"/>
    <w:rsid w:val="00DF7ADB"/>
    <w:rsid w:val="00E31399"/>
    <w:rsid w:val="00E6791C"/>
    <w:rsid w:val="00E96995"/>
    <w:rsid w:val="00EC1C3E"/>
    <w:rsid w:val="00ED2B9D"/>
    <w:rsid w:val="00ED59B2"/>
    <w:rsid w:val="00EF36CA"/>
    <w:rsid w:val="00F0035C"/>
    <w:rsid w:val="00F5733F"/>
    <w:rsid w:val="00F941B1"/>
    <w:rsid w:val="00F966A1"/>
    <w:rsid w:val="00FA4C5A"/>
    <w:rsid w:val="00FB6056"/>
    <w:rsid w:val="00FB6B5E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0C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3E0"/>
    <w:rPr>
      <w:rFonts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74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74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820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950442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76424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73202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087713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607453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72994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76555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2778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654994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537821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899220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56857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34488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35812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1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66414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1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1DB08-2121-487A-B3FC-55142269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Taeleman, Liesbeth</cp:lastModifiedBy>
  <cp:revision>3</cp:revision>
  <cp:lastPrinted>2020-01-21T15:04:00Z</cp:lastPrinted>
  <dcterms:created xsi:type="dcterms:W3CDTF">2022-05-13T08:27:00Z</dcterms:created>
  <dcterms:modified xsi:type="dcterms:W3CDTF">2022-05-18T14:36:00Z</dcterms:modified>
</cp:coreProperties>
</file>